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6FCD" w14:textId="77777777" w:rsidR="00C94080" w:rsidRPr="00A1116A" w:rsidRDefault="000B63AB" w:rsidP="00A1116A">
      <w:pPr>
        <w:shd w:val="clear" w:color="auto" w:fill="FFFFFF"/>
        <w:jc w:val="right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 </w:t>
      </w:r>
      <w:r w:rsidR="00C94080" w:rsidRPr="00A1116A">
        <w:rPr>
          <w:rFonts w:asciiTheme="minorHAnsi" w:hAnsiTheme="minorHAnsi" w:cs="Arial"/>
          <w:sz w:val="20"/>
          <w:szCs w:val="20"/>
        </w:rPr>
        <w:t>Poznań, 27.03.14</w:t>
      </w:r>
    </w:p>
    <w:p w14:paraId="0D4205AE" w14:textId="64ED6392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color w:val="A6A6A6" w:themeColor="background1" w:themeShade="A6"/>
          <w:sz w:val="24"/>
          <w:szCs w:val="24"/>
        </w:rPr>
      </w:pPr>
      <w:r w:rsidRPr="00A1116A">
        <w:rPr>
          <w:rFonts w:asciiTheme="minorHAnsi" w:hAnsiTheme="minorHAnsi" w:cs="Arial"/>
          <w:color w:val="A6A6A6" w:themeColor="background1" w:themeShade="A6"/>
          <w:sz w:val="24"/>
          <w:szCs w:val="24"/>
        </w:rPr>
        <w:t>Opinie</w:t>
      </w:r>
    </w:p>
    <w:p w14:paraId="7CD34B8B" w14:textId="77777777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</w:p>
    <w:p w14:paraId="1E2D49D3" w14:textId="0211B82D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A1116A">
        <w:rPr>
          <w:rFonts w:asciiTheme="minorHAnsi" w:hAnsiTheme="minorHAnsi" w:cs="Arial"/>
          <w:b/>
          <w:sz w:val="24"/>
          <w:szCs w:val="24"/>
        </w:rPr>
        <w:t>Zalążek innowacji – gdzie go szukać?</w:t>
      </w:r>
    </w:p>
    <w:p w14:paraId="4A75DAA6" w14:textId="2DD9D0C0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W ostatnich latach w Polsce nastąpił dynamiczny rozwój funduszy kapitału zalążkowego  - stało się tak głównie  za sprawą wielomilionowego zastrzyku finansowego z Unii Europejskiej (m.in. w latach 2007 - 2013, w ramach Działania 3.1 „Inicjowanie Działalności Innowacyjnej”  Programu Operacyjnego Innowacyjna Gospodarka) oraz </w:t>
      </w:r>
      <w:r>
        <w:rPr>
          <w:rFonts w:asciiTheme="minorHAnsi" w:hAnsiTheme="minorHAnsi" w:cs="Arial"/>
          <w:sz w:val="20"/>
          <w:szCs w:val="20"/>
        </w:rPr>
        <w:br/>
      </w:r>
      <w:r w:rsidRPr="00A1116A">
        <w:rPr>
          <w:rFonts w:asciiTheme="minorHAnsi" w:hAnsiTheme="minorHAnsi" w:cs="Arial"/>
          <w:sz w:val="20"/>
          <w:szCs w:val="20"/>
        </w:rPr>
        <w:t xml:space="preserve">z Krajowego Funduszu Kapitałowego. W efekcie, według danych PARP, w 2012 roku mięliśmy w kraju 10 sieci Aniołów Biznesu i ponad 60 funduszy typu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seed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capital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>.</w:t>
      </w:r>
    </w:p>
    <w:p w14:paraId="31BA43A5" w14:textId="1491642A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W opinii ekspertów i samych zainteresowanych większość tych i innych instytucji otoczenia biznesu działa jednak "tak sobie". Jest bardzo prawdopodobne, że znacząca część tych przedsięwzięć sfinansowanych ze środków unijnych zostanie zaraz, to jest po okresie realizacji projektów, po </w:t>
      </w:r>
      <w:r w:rsidR="00E13929">
        <w:rPr>
          <w:rFonts w:asciiTheme="minorHAnsi" w:hAnsiTheme="minorHAnsi" w:cs="Arial"/>
          <w:sz w:val="20"/>
          <w:szCs w:val="20"/>
        </w:rPr>
        <w:t>prostu zakończona.</w:t>
      </w:r>
      <w:bookmarkStart w:id="0" w:name="_GoBack"/>
      <w:bookmarkEnd w:id="0"/>
      <w:r w:rsidRPr="00A1116A">
        <w:rPr>
          <w:rFonts w:asciiTheme="minorHAnsi" w:hAnsiTheme="minorHAnsi" w:cs="Arial"/>
          <w:sz w:val="20"/>
          <w:szCs w:val="20"/>
        </w:rPr>
        <w:t xml:space="preserve"> Jeśli tak się stanie, to znaczy, że pieniądze "zostały przejedzone" - inwestycje nie zwróciły się i nie ma kapitału na kolejne, </w:t>
      </w:r>
      <w:r>
        <w:rPr>
          <w:rFonts w:asciiTheme="minorHAnsi" w:hAnsiTheme="minorHAnsi" w:cs="Arial"/>
          <w:sz w:val="20"/>
          <w:szCs w:val="20"/>
        </w:rPr>
        <w:br/>
      </w:r>
      <w:r w:rsidRPr="00A1116A">
        <w:rPr>
          <w:rFonts w:asciiTheme="minorHAnsi" w:hAnsiTheme="minorHAnsi" w:cs="Arial"/>
          <w:sz w:val="20"/>
          <w:szCs w:val="20"/>
        </w:rPr>
        <w:t>a standard działania tych podmiotów nie opowiedział na realne potrzeby rynkowe.</w:t>
      </w:r>
    </w:p>
    <w:p w14:paraId="591421BA" w14:textId="071DF909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W kolejnym rozdaniu, tym na lata 2014 - 2020, Unia będzie preferowała zatem tych beneficjentów, którzy mogą się już pochwalić jakimiś osiągnięciami - pieniądze na uruchomienie funduszu kapitału zalążkowego szybciej dostanie ten, kto już wcześniej prowadził inkubator przedsiębiorczości, klub aniołów biznesu czy park naukowo-technologiczny. W ramach Programu Operacyjnego Inteligentny Rozwój, oś II  - „WZROST POTENCJAŁU INNOWACYJNEGO PRZEDSIĘBIORSTW” środki będą kierowane m.in na komercjalizację wyników badań naukowych i prac rozwojowych, wsparcie dla funduszy kapitałowych (w tym funduszy typu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Private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Equity/Venture Capital, funduszy zalążkowych i sieci aniołów),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1116A">
        <w:rPr>
          <w:rFonts w:asciiTheme="minorHAnsi" w:hAnsiTheme="minorHAnsi" w:cs="Arial"/>
          <w:sz w:val="20"/>
          <w:szCs w:val="20"/>
        </w:rPr>
        <w:t>a także  wzrost współpracy miedzy różnymi ośrodkami otoczenia biznesu.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1116A">
        <w:rPr>
          <w:rFonts w:asciiTheme="minorHAnsi" w:hAnsiTheme="minorHAnsi" w:cs="Arial"/>
          <w:sz w:val="20"/>
          <w:szCs w:val="20"/>
        </w:rPr>
        <w:t>Mówi się też sporo o konieczności stymulowaniu "sieciowania" i tworzeniu klastrów pomiędzy firmami, a także firmami i uczelniami oraz instytucjami wsparcia biznesu.</w:t>
      </w:r>
    </w:p>
    <w:p w14:paraId="06E98249" w14:textId="23E7947B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Część programów ma charakter ponadnarodowy, co oznacza, że o środki będziemy konkurować bezpośrednio </w:t>
      </w:r>
      <w:r>
        <w:rPr>
          <w:rFonts w:asciiTheme="minorHAnsi" w:hAnsiTheme="minorHAnsi" w:cs="Arial"/>
          <w:sz w:val="20"/>
          <w:szCs w:val="20"/>
        </w:rPr>
        <w:br/>
      </w:r>
      <w:r w:rsidRPr="00A1116A">
        <w:rPr>
          <w:rFonts w:asciiTheme="minorHAnsi" w:hAnsiTheme="minorHAnsi" w:cs="Arial"/>
          <w:sz w:val="20"/>
          <w:szCs w:val="20"/>
        </w:rPr>
        <w:t>z aplikującymi z innych krajów - trudno w takiej sytuacji być optymistą, jeśli u nas pojęcie "klaster" wciąż wielu osobom przywodzi na myśl jedynie lekcję biologii czy chemii, zamiast grupę podmiotów współpracujących ze sobą.</w:t>
      </w:r>
    </w:p>
    <w:p w14:paraId="4837AFAF" w14:textId="0637EDBB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Rozwój wyspecjalizowanych usług proinnowacyjnych jest zgodny z kierunkami strategicznymi rozwoju Europy. Tymczasem Polska w zakresie innowacji jest w europejskim ogonie. Lata 2014 - 2020 albo nam pomogą nadrobić zaległości, albo sprawią, że zostaniemy jeszcze bardziej w tyle. Nadzieją i optymizmem napawa obserwacja rodzimej branży venture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capital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i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private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equity - można powiedzieć, że jeszcze 10 lat temu ta branża w Polsce nie istniała, przez kilka kolejnych lat Polska była dla tych podmiotów rynkiem wschodzącym, </w:t>
      </w:r>
      <w:r>
        <w:rPr>
          <w:rFonts w:asciiTheme="minorHAnsi" w:hAnsiTheme="minorHAnsi" w:cs="Arial"/>
          <w:sz w:val="20"/>
          <w:szCs w:val="20"/>
        </w:rPr>
        <w:br/>
      </w:r>
      <w:r w:rsidRPr="00A1116A">
        <w:rPr>
          <w:rFonts w:asciiTheme="minorHAnsi" w:hAnsiTheme="minorHAnsi" w:cs="Arial"/>
          <w:sz w:val="20"/>
          <w:szCs w:val="20"/>
        </w:rPr>
        <w:t>a tymczasem mniej więcej od 2 lat przedstawiciele tych funduszy mówią, że Polska to już rynek dojrzały.</w:t>
      </w:r>
    </w:p>
    <w:p w14:paraId="26623E4D" w14:textId="48E78898" w:rsidR="00A1116A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Może zatem i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seed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capital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wejdzie na wyższy poziom profesjonalizacji? Dużo zależy od kompetencji ludzi realizujących inwestycje, od wdrażania dobrych praktyk (tj. tych wypracowanych  w podmiotach, które mogą już pochwalić się sukcesami, a także za granicą czy w branży PE/VC, która powinna być dla segmentu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seed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naturalnym punktem odniesienia). Ja wierzę, że zadziała twarde prawo rynku - przetrwają najlepsi.</w:t>
      </w:r>
    </w:p>
    <w:p w14:paraId="15588A84" w14:textId="77777777" w:rsidR="00A1116A" w:rsidRDefault="00A1116A" w:rsidP="00A1116A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</w:p>
    <w:p w14:paraId="00C6A1DB" w14:textId="77777777" w:rsidR="00A1116A" w:rsidRDefault="00A1116A" w:rsidP="00A1116A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</w:p>
    <w:p w14:paraId="239F0D8C" w14:textId="77777777" w:rsidR="00A1116A" w:rsidRDefault="00A1116A" w:rsidP="00A1116A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</w:p>
    <w:p w14:paraId="5A64F766" w14:textId="0DFB66E2" w:rsidR="00C94080" w:rsidRPr="00A1116A" w:rsidRDefault="00A1116A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b/>
          <w:sz w:val="20"/>
          <w:szCs w:val="20"/>
        </w:rPr>
        <w:lastRenderedPageBreak/>
        <w:t xml:space="preserve">Aleksandra </w:t>
      </w:r>
      <w:proofErr w:type="spellStart"/>
      <w:r w:rsidRPr="00A1116A">
        <w:rPr>
          <w:rFonts w:asciiTheme="minorHAnsi" w:hAnsiTheme="minorHAnsi" w:cs="Arial"/>
          <w:b/>
          <w:sz w:val="20"/>
          <w:szCs w:val="20"/>
        </w:rPr>
        <w:t>Eneje</w:t>
      </w:r>
      <w:proofErr w:type="spellEnd"/>
      <w:r w:rsidRPr="00A1116A">
        <w:rPr>
          <w:rFonts w:asciiTheme="minorHAnsi" w:hAnsiTheme="minorHAnsi" w:cs="Arial"/>
          <w:b/>
          <w:sz w:val="20"/>
          <w:szCs w:val="20"/>
        </w:rPr>
        <w:t>, Partner ds. rozwoju i IT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A1116A">
        <w:rPr>
          <w:rFonts w:asciiTheme="minorHAnsi" w:hAnsiTheme="minorHAnsi" w:cs="Arial"/>
          <w:sz w:val="20"/>
          <w:szCs w:val="20"/>
        </w:rPr>
        <w:t xml:space="preserve">W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Datapoint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jest dyrektorem ds. IT, odpowiedzialna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także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za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rozwój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biznesu, w tym identyfikowanie nowych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kierunków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rozwoju. Prelegent na licznych konferencjach tematycznych.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Doświadczenie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zdobywała jako analityk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systemów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informatycznych w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międzynarodowych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korporacjach takich jak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Procter&amp;Gamble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oraz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GlaxoSmithKline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. Po godzinach pasjonatka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podróży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, trekkingu, </w:t>
      </w:r>
      <w:r>
        <w:rPr>
          <w:rFonts w:asciiTheme="minorHAnsi" w:hAnsiTheme="minorHAnsi" w:cs="Arial"/>
          <w:sz w:val="20"/>
          <w:szCs w:val="20"/>
        </w:rPr>
        <w:br/>
      </w:r>
      <w:r w:rsidRPr="00A1116A">
        <w:rPr>
          <w:rFonts w:asciiTheme="minorHAnsi" w:hAnsiTheme="minorHAnsi" w:cs="Arial"/>
          <w:sz w:val="20"/>
          <w:szCs w:val="20"/>
        </w:rPr>
        <w:t xml:space="preserve">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także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wspinaczki.</w:t>
      </w:r>
    </w:p>
    <w:p w14:paraId="676A3E77" w14:textId="00A6AD71" w:rsidR="001D03BB" w:rsidRDefault="00B32DC2" w:rsidP="00A1116A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proofErr w:type="spellStart"/>
      <w:r w:rsidRPr="00A1116A">
        <w:rPr>
          <w:rFonts w:asciiTheme="minorHAnsi" w:hAnsiTheme="minorHAnsi" w:cs="Arial"/>
          <w:b/>
          <w:sz w:val="20"/>
          <w:szCs w:val="20"/>
        </w:rPr>
        <w:t>Datapoint</w:t>
      </w:r>
      <w:proofErr w:type="spellEnd"/>
      <w:r w:rsidRPr="00A111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1116A">
        <w:rPr>
          <w:rFonts w:asciiTheme="minorHAnsi" w:hAnsiTheme="minorHAnsi" w:cs="Arial"/>
          <w:sz w:val="20"/>
          <w:szCs w:val="20"/>
        </w:rPr>
        <w:t xml:space="preserve">to  pionier na polskim rynku kapitałowym, który w oparciu o  technologię Virtual Data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Room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wspiera największe transakcje M&amp;A,  IPO,  inwestycje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Private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Equity, restrukturyzacje i prywatyzacje, w Polsce oraz w innych krajach Europ</w:t>
      </w:r>
      <w:r w:rsidR="00802643" w:rsidRPr="00A1116A">
        <w:rPr>
          <w:rFonts w:asciiTheme="minorHAnsi" w:hAnsiTheme="minorHAnsi" w:cs="Arial"/>
          <w:sz w:val="20"/>
          <w:szCs w:val="20"/>
        </w:rPr>
        <w:t>y Środkowej i Wschodniej. S</w:t>
      </w:r>
      <w:r w:rsidRPr="00A1116A">
        <w:rPr>
          <w:rFonts w:asciiTheme="minorHAnsi" w:hAnsiTheme="minorHAnsi" w:cs="Arial"/>
          <w:sz w:val="20"/>
          <w:szCs w:val="20"/>
        </w:rPr>
        <w:t xml:space="preserve">ystem </w:t>
      </w:r>
      <w:proofErr w:type="spellStart"/>
      <w:r w:rsidR="00802643" w:rsidRPr="00A1116A">
        <w:rPr>
          <w:rFonts w:asciiTheme="minorHAnsi" w:hAnsiTheme="minorHAnsi" w:cs="Arial"/>
          <w:sz w:val="20"/>
          <w:szCs w:val="20"/>
        </w:rPr>
        <w:t>Datapoint</w:t>
      </w:r>
      <w:proofErr w:type="spellEnd"/>
      <w:r w:rsidR="00802643" w:rsidRPr="00A1116A">
        <w:rPr>
          <w:rFonts w:asciiTheme="minorHAnsi" w:hAnsiTheme="minorHAnsi" w:cs="Arial"/>
          <w:sz w:val="20"/>
          <w:szCs w:val="20"/>
        </w:rPr>
        <w:t xml:space="preserve"> VDR </w:t>
      </w:r>
      <w:r w:rsidRPr="00A1116A">
        <w:rPr>
          <w:rFonts w:asciiTheme="minorHAnsi" w:hAnsiTheme="minorHAnsi" w:cs="Arial"/>
          <w:sz w:val="20"/>
          <w:szCs w:val="20"/>
        </w:rPr>
        <w:t>podniósł bezpieczeństwo i efektywność kilkuset transakcji o łącznej wartości ponad 2</w:t>
      </w:r>
      <w:r w:rsidR="000C72FD" w:rsidRPr="00A1116A">
        <w:rPr>
          <w:rFonts w:asciiTheme="minorHAnsi" w:hAnsiTheme="minorHAnsi" w:cs="Arial"/>
          <w:sz w:val="20"/>
          <w:szCs w:val="20"/>
        </w:rPr>
        <w:t>9</w:t>
      </w:r>
      <w:r w:rsidRPr="00A1116A">
        <w:rPr>
          <w:rFonts w:asciiTheme="minorHAnsi" w:hAnsiTheme="minorHAnsi" w:cs="Arial"/>
          <w:sz w:val="20"/>
          <w:szCs w:val="20"/>
        </w:rPr>
        <w:t xml:space="preserve"> mld złotych, przy których pracowało ponad 20 tysięcy osób z kilkuset niezależnych firm z całego świata. Naszym dążeniem jest identyfikowanie potrzeb w zakresie bezpiecznego zarządzania poufnymi dokumentami wśród konkretnych branż i zaspokajanie ich w oparciu o technologię Virtual Data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Room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>. Z usługi DATAPOINT korzystają liderzy branż w Polsce i za granicą,</w:t>
      </w:r>
      <w:r w:rsidRPr="00A1116A">
        <w:rPr>
          <w:rStyle w:val="apple-converted-space"/>
          <w:rFonts w:asciiTheme="minorHAnsi" w:hAnsiTheme="minorHAnsi" w:cs="Arial"/>
          <w:sz w:val="20"/>
          <w:szCs w:val="20"/>
        </w:rPr>
        <w:t> </w:t>
      </w:r>
      <w:r w:rsidRPr="00A1116A">
        <w:rPr>
          <w:rFonts w:asciiTheme="minorHAnsi" w:hAnsiTheme="minorHAnsi" w:cs="Arial"/>
          <w:sz w:val="20"/>
          <w:szCs w:val="20"/>
        </w:rPr>
        <w:t xml:space="preserve"> fundusz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Private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Equity Enterprise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Investors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, NFI Empik, ZELMER, Bank DNB, BOŚ Bank, Polimex Mostostal, Budimex, Dom Maklerski PKO Banku Polskiego, Deloitte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Advisory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Ernst&amp;Young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Corporate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 xml:space="preserve"> Finance, KPMG </w:t>
      </w:r>
      <w:proofErr w:type="spellStart"/>
      <w:r w:rsidRPr="00A1116A">
        <w:rPr>
          <w:rFonts w:asciiTheme="minorHAnsi" w:hAnsiTheme="minorHAnsi" w:cs="Arial"/>
          <w:sz w:val="20"/>
          <w:szCs w:val="20"/>
        </w:rPr>
        <w:t>Advisory</w:t>
      </w:r>
      <w:proofErr w:type="spellEnd"/>
      <w:r w:rsidRPr="00A1116A">
        <w:rPr>
          <w:rFonts w:asciiTheme="minorHAnsi" w:hAnsiTheme="minorHAnsi" w:cs="Arial"/>
          <w:sz w:val="20"/>
          <w:szCs w:val="20"/>
        </w:rPr>
        <w:t>, Śnieżka, Enea, JSW</w:t>
      </w:r>
      <w:r w:rsidR="0073751F" w:rsidRPr="00A1116A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73751F" w:rsidRPr="00A1116A">
        <w:rPr>
          <w:rFonts w:asciiTheme="minorHAnsi" w:hAnsiTheme="minorHAnsi" w:cs="Arial"/>
          <w:sz w:val="20"/>
          <w:szCs w:val="20"/>
        </w:rPr>
        <w:t>Espirito</w:t>
      </w:r>
      <w:proofErr w:type="spellEnd"/>
      <w:r w:rsidR="0073751F" w:rsidRPr="00A1116A">
        <w:rPr>
          <w:rFonts w:asciiTheme="minorHAnsi" w:hAnsiTheme="minorHAnsi" w:cs="Arial"/>
          <w:sz w:val="20"/>
          <w:szCs w:val="20"/>
        </w:rPr>
        <w:t xml:space="preserve"> Santo Investment Bank</w:t>
      </w:r>
      <w:r w:rsidRPr="00A1116A">
        <w:rPr>
          <w:rFonts w:asciiTheme="minorHAnsi" w:hAnsiTheme="minorHAnsi" w:cs="Arial"/>
          <w:sz w:val="20"/>
          <w:szCs w:val="20"/>
        </w:rPr>
        <w:t xml:space="preserve"> oraz wiele innych.</w:t>
      </w:r>
    </w:p>
    <w:p w14:paraId="73A2175A" w14:textId="16017E8A" w:rsidR="00E13929" w:rsidRPr="00E13929" w:rsidRDefault="00E13929" w:rsidP="00A1116A">
      <w:pPr>
        <w:shd w:val="clear" w:color="auto" w:fill="FFFFFF"/>
        <w:rPr>
          <w:rFonts w:asciiTheme="minorHAnsi" w:hAnsiTheme="minorHAnsi" w:cs="Arial"/>
          <w:b/>
          <w:sz w:val="20"/>
          <w:szCs w:val="20"/>
        </w:rPr>
      </w:pPr>
      <w:r w:rsidRPr="00E13929">
        <w:rPr>
          <w:rFonts w:asciiTheme="minorHAnsi" w:hAnsiTheme="minorHAnsi" w:cs="Arial"/>
          <w:b/>
          <w:sz w:val="20"/>
          <w:szCs w:val="20"/>
        </w:rPr>
        <w:t xml:space="preserve">We wrześniu 2014 r spółka zmieniła nazwę na FORDATA, więcej: </w:t>
      </w:r>
      <w:hyperlink r:id="rId9" w:history="1">
        <w:r w:rsidRPr="00E13929">
          <w:rPr>
            <w:rStyle w:val="Hipercze"/>
            <w:rFonts w:asciiTheme="minorHAnsi" w:hAnsiTheme="minorHAnsi" w:cs="Arial"/>
            <w:b/>
            <w:sz w:val="20"/>
            <w:szCs w:val="20"/>
          </w:rPr>
          <w:t>www.fordata.pl</w:t>
        </w:r>
      </w:hyperlink>
    </w:p>
    <w:p w14:paraId="71EB4CBE" w14:textId="77777777" w:rsidR="00A12DD2" w:rsidRPr="00A1116A" w:rsidRDefault="00056160" w:rsidP="00A1116A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A1116A">
        <w:rPr>
          <w:rFonts w:asciiTheme="minorHAnsi" w:hAnsiTheme="minorHAnsi"/>
          <w:b/>
          <w:sz w:val="20"/>
          <w:szCs w:val="20"/>
        </w:rPr>
        <w:t xml:space="preserve">Kontakt dla </w:t>
      </w:r>
      <w:proofErr w:type="spellStart"/>
      <w:r w:rsidRPr="00A1116A">
        <w:rPr>
          <w:rFonts w:asciiTheme="minorHAnsi" w:hAnsiTheme="minorHAnsi"/>
          <w:b/>
          <w:sz w:val="20"/>
          <w:szCs w:val="20"/>
        </w:rPr>
        <w:t>mediów</w:t>
      </w:r>
      <w:proofErr w:type="spellEnd"/>
      <w:r w:rsidR="00633C0E" w:rsidRPr="00A1116A">
        <w:rPr>
          <w:rFonts w:asciiTheme="minorHAnsi" w:hAnsiTheme="minorHAnsi"/>
          <w:b/>
          <w:sz w:val="20"/>
          <w:szCs w:val="20"/>
        </w:rPr>
        <w:t>:</w:t>
      </w:r>
    </w:p>
    <w:p w14:paraId="6AEC1C57" w14:textId="178671E9" w:rsidR="00056160" w:rsidRPr="00E13929" w:rsidRDefault="00056160" w:rsidP="00A1116A">
      <w:pPr>
        <w:spacing w:line="240" w:lineRule="auto"/>
        <w:rPr>
          <w:rFonts w:asciiTheme="minorHAnsi" w:hAnsiTheme="minorHAnsi"/>
          <w:sz w:val="20"/>
          <w:szCs w:val="20"/>
          <w:lang w:val="fr-FR"/>
        </w:rPr>
      </w:pPr>
      <w:r w:rsidRPr="00E13929">
        <w:rPr>
          <w:rFonts w:asciiTheme="minorHAnsi" w:hAnsiTheme="minorHAnsi"/>
          <w:sz w:val="20"/>
          <w:szCs w:val="20"/>
          <w:lang w:val="fr-FR"/>
        </w:rPr>
        <w:t>Aleksandra Prusator</w:t>
      </w:r>
      <w:r w:rsidR="00633C0E" w:rsidRPr="00E13929">
        <w:rPr>
          <w:rFonts w:asciiTheme="minorHAnsi" w:hAnsiTheme="minorHAnsi"/>
          <w:sz w:val="20"/>
          <w:szCs w:val="20"/>
          <w:lang w:val="fr-FR"/>
        </w:rPr>
        <w:t>,</w:t>
      </w:r>
      <w:r w:rsidR="00590C92" w:rsidRPr="00E13929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E13929">
        <w:rPr>
          <w:rFonts w:asciiTheme="minorHAnsi" w:hAnsiTheme="minorHAnsi"/>
          <w:sz w:val="20"/>
          <w:szCs w:val="20"/>
          <w:lang w:val="fr-FR"/>
        </w:rPr>
        <w:t>e-mail: aleksandra.prusator@</w:t>
      </w:r>
      <w:r w:rsidR="00E13929" w:rsidRPr="00E13929">
        <w:rPr>
          <w:rFonts w:asciiTheme="minorHAnsi" w:hAnsiTheme="minorHAnsi"/>
          <w:sz w:val="20"/>
          <w:szCs w:val="20"/>
          <w:lang w:val="fr-FR"/>
        </w:rPr>
        <w:t>fordata</w:t>
      </w:r>
      <w:r w:rsidRPr="00E13929">
        <w:rPr>
          <w:rFonts w:asciiTheme="minorHAnsi" w:hAnsiTheme="minorHAnsi"/>
          <w:sz w:val="20"/>
          <w:szCs w:val="20"/>
          <w:lang w:val="fr-FR"/>
        </w:rPr>
        <w:t>.pl tel: 506 044 056</w:t>
      </w:r>
    </w:p>
    <w:p w14:paraId="7F08379A" w14:textId="77777777" w:rsidR="00C15C31" w:rsidRPr="00A1116A" w:rsidRDefault="00056160" w:rsidP="00A1116A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Beata</w:t>
      </w:r>
      <w:proofErr w:type="spellEnd"/>
      <w:r w:rsidRPr="00A1116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Milewicz</w:t>
      </w:r>
      <w:proofErr w:type="spellEnd"/>
      <w:r w:rsidR="00633C0E" w:rsidRPr="00A1116A">
        <w:rPr>
          <w:rFonts w:asciiTheme="minorHAnsi" w:hAnsiTheme="minorHAnsi"/>
          <w:sz w:val="20"/>
          <w:szCs w:val="20"/>
          <w:lang w:val="en-US"/>
        </w:rPr>
        <w:t>,</w:t>
      </w:r>
      <w:r w:rsidRPr="00A1116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90C92" w:rsidRPr="00A1116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A1116A">
        <w:rPr>
          <w:rFonts w:asciiTheme="minorHAnsi" w:hAnsiTheme="minorHAnsi"/>
          <w:sz w:val="20"/>
          <w:szCs w:val="20"/>
          <w:lang w:val="en-US"/>
        </w:rPr>
        <w:t xml:space="preserve">e-mail: beata.milewicz@secretservices.pl </w:t>
      </w: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tel</w:t>
      </w:r>
      <w:proofErr w:type="spellEnd"/>
      <w:r w:rsidRPr="00A1116A">
        <w:rPr>
          <w:rFonts w:asciiTheme="minorHAnsi" w:hAnsiTheme="minorHAnsi"/>
          <w:sz w:val="20"/>
          <w:szCs w:val="20"/>
          <w:lang w:val="en-US"/>
        </w:rPr>
        <w:t>: 508 051 138</w:t>
      </w:r>
    </w:p>
    <w:sectPr w:rsidR="00C15C31" w:rsidRPr="00A1116A" w:rsidSect="0085713D">
      <w:headerReference w:type="default" r:id="rId10"/>
      <w:footerReference w:type="default" r:id="rId11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2C50" w14:textId="77777777" w:rsidR="0008104C" w:rsidRDefault="0008104C" w:rsidP="00EB0585">
      <w:pPr>
        <w:spacing w:after="0" w:line="240" w:lineRule="auto"/>
      </w:pPr>
      <w:r>
        <w:separator/>
      </w:r>
    </w:p>
  </w:endnote>
  <w:endnote w:type="continuationSeparator" w:id="0">
    <w:p w14:paraId="51A3CF5F" w14:textId="77777777" w:rsidR="0008104C" w:rsidRDefault="0008104C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EEE" w14:textId="77777777" w:rsidR="00E05E36" w:rsidRPr="009360A2" w:rsidRDefault="00E05E36">
    <w:pPr>
      <w:pStyle w:val="Stopka"/>
      <w:jc w:val="right"/>
      <w:rPr>
        <w:rFonts w:ascii="Verdana" w:hAnsi="Verdana"/>
        <w:sz w:val="20"/>
      </w:rPr>
    </w:pPr>
    <w:r w:rsidRPr="009360A2">
      <w:rPr>
        <w:rFonts w:ascii="Verdana" w:hAnsi="Verdana"/>
        <w:sz w:val="20"/>
      </w:rPr>
      <w:t>www.datapoint.pl</w:t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18"/>
      </w:rPr>
      <w:t xml:space="preserve">Strona </w:t>
    </w:r>
    <w:r w:rsidR="004D5E89"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PAGE</w:instrText>
    </w:r>
    <w:r w:rsidR="004D5E89" w:rsidRPr="009360A2">
      <w:rPr>
        <w:rFonts w:ascii="Verdana" w:hAnsi="Verdana"/>
        <w:b/>
        <w:sz w:val="20"/>
        <w:szCs w:val="24"/>
      </w:rPr>
      <w:fldChar w:fldCharType="separate"/>
    </w:r>
    <w:r w:rsidR="00E13929">
      <w:rPr>
        <w:rFonts w:ascii="Verdana" w:hAnsi="Verdana"/>
        <w:b/>
        <w:noProof/>
        <w:sz w:val="18"/>
      </w:rPr>
      <w:t>2</w:t>
    </w:r>
    <w:r w:rsidR="004D5E89" w:rsidRPr="009360A2">
      <w:rPr>
        <w:rFonts w:ascii="Verdana" w:hAnsi="Verdana"/>
        <w:b/>
        <w:sz w:val="20"/>
        <w:szCs w:val="24"/>
      </w:rPr>
      <w:fldChar w:fldCharType="end"/>
    </w:r>
    <w:r w:rsidRPr="009360A2">
      <w:rPr>
        <w:rFonts w:ascii="Verdana" w:hAnsi="Verdana"/>
        <w:sz w:val="18"/>
      </w:rPr>
      <w:t xml:space="preserve"> z </w:t>
    </w:r>
    <w:r w:rsidR="004D5E89"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NUMPAGES</w:instrText>
    </w:r>
    <w:r w:rsidR="004D5E89" w:rsidRPr="009360A2">
      <w:rPr>
        <w:rFonts w:ascii="Verdana" w:hAnsi="Verdana"/>
        <w:b/>
        <w:sz w:val="20"/>
        <w:szCs w:val="24"/>
      </w:rPr>
      <w:fldChar w:fldCharType="separate"/>
    </w:r>
    <w:r w:rsidR="00E13929">
      <w:rPr>
        <w:rFonts w:ascii="Verdana" w:hAnsi="Verdana"/>
        <w:b/>
        <w:noProof/>
        <w:sz w:val="18"/>
      </w:rPr>
      <w:t>2</w:t>
    </w:r>
    <w:r w:rsidR="004D5E89" w:rsidRPr="009360A2">
      <w:rPr>
        <w:rFonts w:ascii="Verdana" w:hAnsi="Verdana"/>
        <w:b/>
        <w:sz w:val="20"/>
        <w:szCs w:val="24"/>
      </w:rPr>
      <w:fldChar w:fldCharType="end"/>
    </w:r>
  </w:p>
  <w:p w14:paraId="689AE92B" w14:textId="77777777" w:rsidR="00E05E36" w:rsidRPr="009360A2" w:rsidRDefault="00E05E36" w:rsidP="00D52404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AD07" w14:textId="77777777" w:rsidR="0008104C" w:rsidRDefault="0008104C" w:rsidP="00EB0585">
      <w:pPr>
        <w:spacing w:after="0" w:line="240" w:lineRule="auto"/>
      </w:pPr>
      <w:r>
        <w:separator/>
      </w:r>
    </w:p>
  </w:footnote>
  <w:footnote w:type="continuationSeparator" w:id="0">
    <w:p w14:paraId="78A7F913" w14:textId="77777777" w:rsidR="0008104C" w:rsidRDefault="0008104C" w:rsidP="00EB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B229" w14:textId="77777777" w:rsidR="00E05E36" w:rsidRDefault="00A10E87" w:rsidP="0085713D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7876AA4" wp14:editId="21130E97">
          <wp:extent cx="23336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91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38F"/>
    <w:multiLevelType w:val="hybridMultilevel"/>
    <w:tmpl w:val="334AFB12"/>
    <w:lvl w:ilvl="0" w:tplc="F7041C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5"/>
    <w:rsid w:val="00001033"/>
    <w:rsid w:val="000025D6"/>
    <w:rsid w:val="00011264"/>
    <w:rsid w:val="000161EE"/>
    <w:rsid w:val="00016A45"/>
    <w:rsid w:val="000229F1"/>
    <w:rsid w:val="0002349E"/>
    <w:rsid w:val="00023B7A"/>
    <w:rsid w:val="00033E8E"/>
    <w:rsid w:val="0003695E"/>
    <w:rsid w:val="000371D4"/>
    <w:rsid w:val="00042888"/>
    <w:rsid w:val="000509BC"/>
    <w:rsid w:val="00054A8C"/>
    <w:rsid w:val="00056160"/>
    <w:rsid w:val="00061FD5"/>
    <w:rsid w:val="00062FC0"/>
    <w:rsid w:val="000736FA"/>
    <w:rsid w:val="00076D86"/>
    <w:rsid w:val="0008104C"/>
    <w:rsid w:val="0008707E"/>
    <w:rsid w:val="00087701"/>
    <w:rsid w:val="000907F1"/>
    <w:rsid w:val="00092B9D"/>
    <w:rsid w:val="0009300B"/>
    <w:rsid w:val="00096164"/>
    <w:rsid w:val="000972D8"/>
    <w:rsid w:val="000A399A"/>
    <w:rsid w:val="000A60E8"/>
    <w:rsid w:val="000B0F86"/>
    <w:rsid w:val="000B4F15"/>
    <w:rsid w:val="000B51FD"/>
    <w:rsid w:val="000B60E0"/>
    <w:rsid w:val="000B63AB"/>
    <w:rsid w:val="000C72FD"/>
    <w:rsid w:val="000D7FD4"/>
    <w:rsid w:val="000E1EE9"/>
    <w:rsid w:val="000E266E"/>
    <w:rsid w:val="0010554C"/>
    <w:rsid w:val="0010694B"/>
    <w:rsid w:val="00113A02"/>
    <w:rsid w:val="00115A52"/>
    <w:rsid w:val="00116E00"/>
    <w:rsid w:val="00122FC1"/>
    <w:rsid w:val="001268DE"/>
    <w:rsid w:val="0012696A"/>
    <w:rsid w:val="00137498"/>
    <w:rsid w:val="00137AAA"/>
    <w:rsid w:val="00140B83"/>
    <w:rsid w:val="001432F3"/>
    <w:rsid w:val="0014442E"/>
    <w:rsid w:val="001478B3"/>
    <w:rsid w:val="00150AAA"/>
    <w:rsid w:val="00156631"/>
    <w:rsid w:val="001617D8"/>
    <w:rsid w:val="00172E0C"/>
    <w:rsid w:val="00194AF5"/>
    <w:rsid w:val="001A30E3"/>
    <w:rsid w:val="001A4738"/>
    <w:rsid w:val="001A48CA"/>
    <w:rsid w:val="001B7EFC"/>
    <w:rsid w:val="001C14FE"/>
    <w:rsid w:val="001C1771"/>
    <w:rsid w:val="001C1790"/>
    <w:rsid w:val="001C18A9"/>
    <w:rsid w:val="001D03BB"/>
    <w:rsid w:val="001D2E51"/>
    <w:rsid w:val="001D4A1E"/>
    <w:rsid w:val="001E3A5F"/>
    <w:rsid w:val="001F1A48"/>
    <w:rsid w:val="001F2554"/>
    <w:rsid w:val="002016D1"/>
    <w:rsid w:val="002044CF"/>
    <w:rsid w:val="0023065C"/>
    <w:rsid w:val="0023784F"/>
    <w:rsid w:val="00257418"/>
    <w:rsid w:val="00261CAD"/>
    <w:rsid w:val="0026566D"/>
    <w:rsid w:val="00267269"/>
    <w:rsid w:val="00271488"/>
    <w:rsid w:val="00272879"/>
    <w:rsid w:val="002749EB"/>
    <w:rsid w:val="0028025A"/>
    <w:rsid w:val="00281CE4"/>
    <w:rsid w:val="00293084"/>
    <w:rsid w:val="002A0476"/>
    <w:rsid w:val="002A2652"/>
    <w:rsid w:val="002A6F13"/>
    <w:rsid w:val="002B34DA"/>
    <w:rsid w:val="002B4059"/>
    <w:rsid w:val="002B6054"/>
    <w:rsid w:val="002C050F"/>
    <w:rsid w:val="002C650D"/>
    <w:rsid w:val="002C66C7"/>
    <w:rsid w:val="002C6A85"/>
    <w:rsid w:val="002D4DDA"/>
    <w:rsid w:val="002D61BC"/>
    <w:rsid w:val="002E05E4"/>
    <w:rsid w:val="002E0A5D"/>
    <w:rsid w:val="002E391B"/>
    <w:rsid w:val="002E59D2"/>
    <w:rsid w:val="002F0662"/>
    <w:rsid w:val="002F162D"/>
    <w:rsid w:val="002F39F9"/>
    <w:rsid w:val="002F44A0"/>
    <w:rsid w:val="00303BE3"/>
    <w:rsid w:val="00305BC5"/>
    <w:rsid w:val="00347014"/>
    <w:rsid w:val="00351B81"/>
    <w:rsid w:val="003735EC"/>
    <w:rsid w:val="00386B0D"/>
    <w:rsid w:val="0039023E"/>
    <w:rsid w:val="0039026C"/>
    <w:rsid w:val="003904E7"/>
    <w:rsid w:val="00391964"/>
    <w:rsid w:val="0039505C"/>
    <w:rsid w:val="003A280B"/>
    <w:rsid w:val="003A5C8D"/>
    <w:rsid w:val="003B6633"/>
    <w:rsid w:val="003C1587"/>
    <w:rsid w:val="003C3698"/>
    <w:rsid w:val="003D532E"/>
    <w:rsid w:val="003D5C30"/>
    <w:rsid w:val="003E2BC7"/>
    <w:rsid w:val="003E2ED9"/>
    <w:rsid w:val="003E7E4F"/>
    <w:rsid w:val="003F1B58"/>
    <w:rsid w:val="003F3487"/>
    <w:rsid w:val="003F35CE"/>
    <w:rsid w:val="0041199E"/>
    <w:rsid w:val="004124BB"/>
    <w:rsid w:val="0041510C"/>
    <w:rsid w:val="0041518E"/>
    <w:rsid w:val="00421D1C"/>
    <w:rsid w:val="00423A0D"/>
    <w:rsid w:val="00425185"/>
    <w:rsid w:val="00425D18"/>
    <w:rsid w:val="004359BC"/>
    <w:rsid w:val="00437B34"/>
    <w:rsid w:val="00437F0C"/>
    <w:rsid w:val="00441D16"/>
    <w:rsid w:val="00441E4D"/>
    <w:rsid w:val="0044585D"/>
    <w:rsid w:val="00445CF1"/>
    <w:rsid w:val="0044602B"/>
    <w:rsid w:val="00453308"/>
    <w:rsid w:val="00462A85"/>
    <w:rsid w:val="00463C70"/>
    <w:rsid w:val="00464594"/>
    <w:rsid w:val="00473DB9"/>
    <w:rsid w:val="00474CC3"/>
    <w:rsid w:val="00477C61"/>
    <w:rsid w:val="00482154"/>
    <w:rsid w:val="00484A24"/>
    <w:rsid w:val="00491D85"/>
    <w:rsid w:val="004964B6"/>
    <w:rsid w:val="004B3488"/>
    <w:rsid w:val="004C6248"/>
    <w:rsid w:val="004D272D"/>
    <w:rsid w:val="004D29AA"/>
    <w:rsid w:val="004D5E89"/>
    <w:rsid w:val="004D5E8B"/>
    <w:rsid w:val="004E7BC9"/>
    <w:rsid w:val="004F0CB5"/>
    <w:rsid w:val="004F2EDA"/>
    <w:rsid w:val="004F4436"/>
    <w:rsid w:val="005074E8"/>
    <w:rsid w:val="00511F29"/>
    <w:rsid w:val="005135B8"/>
    <w:rsid w:val="005158B3"/>
    <w:rsid w:val="005208D2"/>
    <w:rsid w:val="0052381D"/>
    <w:rsid w:val="00531AD0"/>
    <w:rsid w:val="00535BE8"/>
    <w:rsid w:val="00536CD7"/>
    <w:rsid w:val="005417B3"/>
    <w:rsid w:val="00545CCD"/>
    <w:rsid w:val="00546D53"/>
    <w:rsid w:val="00551B5D"/>
    <w:rsid w:val="00554AA1"/>
    <w:rsid w:val="0055634A"/>
    <w:rsid w:val="00565982"/>
    <w:rsid w:val="00580E18"/>
    <w:rsid w:val="00581C98"/>
    <w:rsid w:val="00583A7A"/>
    <w:rsid w:val="00586452"/>
    <w:rsid w:val="00587388"/>
    <w:rsid w:val="0058740B"/>
    <w:rsid w:val="00590314"/>
    <w:rsid w:val="00590480"/>
    <w:rsid w:val="00590C92"/>
    <w:rsid w:val="005922C3"/>
    <w:rsid w:val="00595824"/>
    <w:rsid w:val="005959F3"/>
    <w:rsid w:val="00596198"/>
    <w:rsid w:val="005B363D"/>
    <w:rsid w:val="005B4CB8"/>
    <w:rsid w:val="005C25D3"/>
    <w:rsid w:val="005C3AEE"/>
    <w:rsid w:val="005C77C8"/>
    <w:rsid w:val="005D1FD0"/>
    <w:rsid w:val="005D3BE4"/>
    <w:rsid w:val="005D4132"/>
    <w:rsid w:val="005F01E0"/>
    <w:rsid w:val="005F119B"/>
    <w:rsid w:val="005F2379"/>
    <w:rsid w:val="005F4A92"/>
    <w:rsid w:val="005F5F3C"/>
    <w:rsid w:val="00601EBF"/>
    <w:rsid w:val="00605DA4"/>
    <w:rsid w:val="00607056"/>
    <w:rsid w:val="0061152E"/>
    <w:rsid w:val="0061286F"/>
    <w:rsid w:val="00616AE6"/>
    <w:rsid w:val="00630D07"/>
    <w:rsid w:val="00633C0E"/>
    <w:rsid w:val="00634F90"/>
    <w:rsid w:val="0064169A"/>
    <w:rsid w:val="006461E3"/>
    <w:rsid w:val="00670350"/>
    <w:rsid w:val="00680E9F"/>
    <w:rsid w:val="00691BC3"/>
    <w:rsid w:val="00693598"/>
    <w:rsid w:val="006C0F2B"/>
    <w:rsid w:val="006C1477"/>
    <w:rsid w:val="006D33D8"/>
    <w:rsid w:val="006E2A8E"/>
    <w:rsid w:val="006E6756"/>
    <w:rsid w:val="006E7FBD"/>
    <w:rsid w:val="006F5404"/>
    <w:rsid w:val="00702B05"/>
    <w:rsid w:val="007039ED"/>
    <w:rsid w:val="00704E02"/>
    <w:rsid w:val="00713294"/>
    <w:rsid w:val="0072097F"/>
    <w:rsid w:val="007231D9"/>
    <w:rsid w:val="0072764B"/>
    <w:rsid w:val="00734724"/>
    <w:rsid w:val="0073505F"/>
    <w:rsid w:val="0073751F"/>
    <w:rsid w:val="0074585B"/>
    <w:rsid w:val="00745F93"/>
    <w:rsid w:val="00757599"/>
    <w:rsid w:val="00773C15"/>
    <w:rsid w:val="0078057D"/>
    <w:rsid w:val="00783E9D"/>
    <w:rsid w:val="0078458F"/>
    <w:rsid w:val="0078485E"/>
    <w:rsid w:val="00784ACA"/>
    <w:rsid w:val="007862FA"/>
    <w:rsid w:val="007A0F86"/>
    <w:rsid w:val="007A1CBD"/>
    <w:rsid w:val="007A3C94"/>
    <w:rsid w:val="007A4B29"/>
    <w:rsid w:val="007A4D31"/>
    <w:rsid w:val="007A786E"/>
    <w:rsid w:val="007C176C"/>
    <w:rsid w:val="007C2E3F"/>
    <w:rsid w:val="007D4E4A"/>
    <w:rsid w:val="007E1221"/>
    <w:rsid w:val="007E7824"/>
    <w:rsid w:val="007F40E6"/>
    <w:rsid w:val="007F6991"/>
    <w:rsid w:val="007F75D0"/>
    <w:rsid w:val="008022F2"/>
    <w:rsid w:val="00802643"/>
    <w:rsid w:val="00805B85"/>
    <w:rsid w:val="00811CF9"/>
    <w:rsid w:val="00812422"/>
    <w:rsid w:val="00812D5D"/>
    <w:rsid w:val="0082182A"/>
    <w:rsid w:val="00822A33"/>
    <w:rsid w:val="00824156"/>
    <w:rsid w:val="00830122"/>
    <w:rsid w:val="008309B8"/>
    <w:rsid w:val="00843DDF"/>
    <w:rsid w:val="00847BFA"/>
    <w:rsid w:val="00851A8E"/>
    <w:rsid w:val="00851BCA"/>
    <w:rsid w:val="0085713D"/>
    <w:rsid w:val="00861578"/>
    <w:rsid w:val="00863EDD"/>
    <w:rsid w:val="00866BD8"/>
    <w:rsid w:val="00874283"/>
    <w:rsid w:val="00875112"/>
    <w:rsid w:val="008817F5"/>
    <w:rsid w:val="00882F12"/>
    <w:rsid w:val="0089226B"/>
    <w:rsid w:val="008A0BD4"/>
    <w:rsid w:val="008A1FDF"/>
    <w:rsid w:val="008A34EF"/>
    <w:rsid w:val="008A55C7"/>
    <w:rsid w:val="008B08A4"/>
    <w:rsid w:val="008B3579"/>
    <w:rsid w:val="008B50DB"/>
    <w:rsid w:val="008B5783"/>
    <w:rsid w:val="008B58C2"/>
    <w:rsid w:val="008C239F"/>
    <w:rsid w:val="008C39D2"/>
    <w:rsid w:val="008C4422"/>
    <w:rsid w:val="008C61E6"/>
    <w:rsid w:val="008C7271"/>
    <w:rsid w:val="008D22B9"/>
    <w:rsid w:val="008D68AD"/>
    <w:rsid w:val="008E060D"/>
    <w:rsid w:val="008E0FE2"/>
    <w:rsid w:val="008E3CB1"/>
    <w:rsid w:val="008E753D"/>
    <w:rsid w:val="008F1A67"/>
    <w:rsid w:val="008F51D6"/>
    <w:rsid w:val="0090119C"/>
    <w:rsid w:val="00903B5F"/>
    <w:rsid w:val="00920C54"/>
    <w:rsid w:val="00931D48"/>
    <w:rsid w:val="009354D4"/>
    <w:rsid w:val="009360A2"/>
    <w:rsid w:val="00963637"/>
    <w:rsid w:val="009741CE"/>
    <w:rsid w:val="009743F4"/>
    <w:rsid w:val="00975319"/>
    <w:rsid w:val="0098185A"/>
    <w:rsid w:val="009821CD"/>
    <w:rsid w:val="00984086"/>
    <w:rsid w:val="00984B81"/>
    <w:rsid w:val="009A04B6"/>
    <w:rsid w:val="009A05F5"/>
    <w:rsid w:val="009A0E84"/>
    <w:rsid w:val="009B493D"/>
    <w:rsid w:val="009B772E"/>
    <w:rsid w:val="009B7BB4"/>
    <w:rsid w:val="009C1F24"/>
    <w:rsid w:val="009C7ABC"/>
    <w:rsid w:val="009D1A92"/>
    <w:rsid w:val="009E4125"/>
    <w:rsid w:val="009E7264"/>
    <w:rsid w:val="009F3912"/>
    <w:rsid w:val="00A00A3E"/>
    <w:rsid w:val="00A00E53"/>
    <w:rsid w:val="00A01B2C"/>
    <w:rsid w:val="00A06A0E"/>
    <w:rsid w:val="00A101A9"/>
    <w:rsid w:val="00A10E87"/>
    <w:rsid w:val="00A1116A"/>
    <w:rsid w:val="00A12DD2"/>
    <w:rsid w:val="00A15342"/>
    <w:rsid w:val="00A1713D"/>
    <w:rsid w:val="00A1796C"/>
    <w:rsid w:val="00A23933"/>
    <w:rsid w:val="00A245C3"/>
    <w:rsid w:val="00A32F7A"/>
    <w:rsid w:val="00A3319F"/>
    <w:rsid w:val="00A33D22"/>
    <w:rsid w:val="00A40920"/>
    <w:rsid w:val="00A5174C"/>
    <w:rsid w:val="00A555A2"/>
    <w:rsid w:val="00A56434"/>
    <w:rsid w:val="00A64AFE"/>
    <w:rsid w:val="00A722AA"/>
    <w:rsid w:val="00A72BD6"/>
    <w:rsid w:val="00A757FE"/>
    <w:rsid w:val="00A75840"/>
    <w:rsid w:val="00A84A26"/>
    <w:rsid w:val="00A911D8"/>
    <w:rsid w:val="00A94758"/>
    <w:rsid w:val="00AA27FF"/>
    <w:rsid w:val="00AA59E1"/>
    <w:rsid w:val="00AA77FB"/>
    <w:rsid w:val="00AB1E5C"/>
    <w:rsid w:val="00AB7E1D"/>
    <w:rsid w:val="00AC0F8E"/>
    <w:rsid w:val="00AC4E4C"/>
    <w:rsid w:val="00AC5D18"/>
    <w:rsid w:val="00AC6087"/>
    <w:rsid w:val="00AD14D1"/>
    <w:rsid w:val="00AD16A4"/>
    <w:rsid w:val="00AD2FB9"/>
    <w:rsid w:val="00AE3F83"/>
    <w:rsid w:val="00AE67F4"/>
    <w:rsid w:val="00B00B9E"/>
    <w:rsid w:val="00B1565A"/>
    <w:rsid w:val="00B2110A"/>
    <w:rsid w:val="00B32DC2"/>
    <w:rsid w:val="00B34E17"/>
    <w:rsid w:val="00B36B35"/>
    <w:rsid w:val="00B405C7"/>
    <w:rsid w:val="00B40F68"/>
    <w:rsid w:val="00B41851"/>
    <w:rsid w:val="00B428D0"/>
    <w:rsid w:val="00B446C1"/>
    <w:rsid w:val="00B45242"/>
    <w:rsid w:val="00B45AB8"/>
    <w:rsid w:val="00B5379B"/>
    <w:rsid w:val="00B66E16"/>
    <w:rsid w:val="00B761C0"/>
    <w:rsid w:val="00B77E65"/>
    <w:rsid w:val="00B8216F"/>
    <w:rsid w:val="00B878CC"/>
    <w:rsid w:val="00B9034D"/>
    <w:rsid w:val="00B962D0"/>
    <w:rsid w:val="00B96C9F"/>
    <w:rsid w:val="00BA2A07"/>
    <w:rsid w:val="00BB03D4"/>
    <w:rsid w:val="00BB28F4"/>
    <w:rsid w:val="00BB6ABB"/>
    <w:rsid w:val="00BB7E7A"/>
    <w:rsid w:val="00BD4288"/>
    <w:rsid w:val="00BD4490"/>
    <w:rsid w:val="00BF3D96"/>
    <w:rsid w:val="00C021A6"/>
    <w:rsid w:val="00C05D6C"/>
    <w:rsid w:val="00C06180"/>
    <w:rsid w:val="00C1428F"/>
    <w:rsid w:val="00C15C31"/>
    <w:rsid w:val="00C20214"/>
    <w:rsid w:val="00C21453"/>
    <w:rsid w:val="00C227FC"/>
    <w:rsid w:val="00C25A7F"/>
    <w:rsid w:val="00C27FD2"/>
    <w:rsid w:val="00C331D6"/>
    <w:rsid w:val="00C34FB5"/>
    <w:rsid w:val="00C3575B"/>
    <w:rsid w:val="00C37F52"/>
    <w:rsid w:val="00C4096C"/>
    <w:rsid w:val="00C43C70"/>
    <w:rsid w:val="00C4655F"/>
    <w:rsid w:val="00C46F44"/>
    <w:rsid w:val="00C52D9C"/>
    <w:rsid w:val="00C5347A"/>
    <w:rsid w:val="00C552F0"/>
    <w:rsid w:val="00C8282A"/>
    <w:rsid w:val="00C8293D"/>
    <w:rsid w:val="00C83EBF"/>
    <w:rsid w:val="00C84DF3"/>
    <w:rsid w:val="00C919F6"/>
    <w:rsid w:val="00C925E4"/>
    <w:rsid w:val="00C94080"/>
    <w:rsid w:val="00CA0387"/>
    <w:rsid w:val="00CA3EF9"/>
    <w:rsid w:val="00CA6701"/>
    <w:rsid w:val="00CC1203"/>
    <w:rsid w:val="00CD008C"/>
    <w:rsid w:val="00CD04A9"/>
    <w:rsid w:val="00CD2848"/>
    <w:rsid w:val="00CF3C71"/>
    <w:rsid w:val="00CF3D46"/>
    <w:rsid w:val="00CF795C"/>
    <w:rsid w:val="00D00FA1"/>
    <w:rsid w:val="00D07941"/>
    <w:rsid w:val="00D11F0B"/>
    <w:rsid w:val="00D13C05"/>
    <w:rsid w:val="00D14C9E"/>
    <w:rsid w:val="00D238A1"/>
    <w:rsid w:val="00D267B2"/>
    <w:rsid w:val="00D3195F"/>
    <w:rsid w:val="00D347FE"/>
    <w:rsid w:val="00D36C4B"/>
    <w:rsid w:val="00D37E07"/>
    <w:rsid w:val="00D41B6A"/>
    <w:rsid w:val="00D46CBC"/>
    <w:rsid w:val="00D50CD4"/>
    <w:rsid w:val="00D52404"/>
    <w:rsid w:val="00D5406A"/>
    <w:rsid w:val="00D6095B"/>
    <w:rsid w:val="00D60C88"/>
    <w:rsid w:val="00D62BBF"/>
    <w:rsid w:val="00D636A2"/>
    <w:rsid w:val="00D6446A"/>
    <w:rsid w:val="00D65CC8"/>
    <w:rsid w:val="00D705D7"/>
    <w:rsid w:val="00D74414"/>
    <w:rsid w:val="00D74624"/>
    <w:rsid w:val="00D746AE"/>
    <w:rsid w:val="00D874AF"/>
    <w:rsid w:val="00D90B89"/>
    <w:rsid w:val="00D938E4"/>
    <w:rsid w:val="00DA0582"/>
    <w:rsid w:val="00DA0DB6"/>
    <w:rsid w:val="00DA6B3E"/>
    <w:rsid w:val="00DA74B6"/>
    <w:rsid w:val="00DA77DF"/>
    <w:rsid w:val="00DB2312"/>
    <w:rsid w:val="00DB5FD0"/>
    <w:rsid w:val="00DB6F69"/>
    <w:rsid w:val="00DC3968"/>
    <w:rsid w:val="00DC4092"/>
    <w:rsid w:val="00DC4448"/>
    <w:rsid w:val="00DC4755"/>
    <w:rsid w:val="00DC600B"/>
    <w:rsid w:val="00DD05A1"/>
    <w:rsid w:val="00DD0B20"/>
    <w:rsid w:val="00DD18B7"/>
    <w:rsid w:val="00DE092C"/>
    <w:rsid w:val="00DE1A67"/>
    <w:rsid w:val="00DE7976"/>
    <w:rsid w:val="00DF1C8E"/>
    <w:rsid w:val="00DF4405"/>
    <w:rsid w:val="00DF7C90"/>
    <w:rsid w:val="00E01F04"/>
    <w:rsid w:val="00E05E36"/>
    <w:rsid w:val="00E13929"/>
    <w:rsid w:val="00E213DC"/>
    <w:rsid w:val="00E21DAE"/>
    <w:rsid w:val="00E21F91"/>
    <w:rsid w:val="00E24C3E"/>
    <w:rsid w:val="00E258A7"/>
    <w:rsid w:val="00E262D0"/>
    <w:rsid w:val="00E3176D"/>
    <w:rsid w:val="00E36A09"/>
    <w:rsid w:val="00E45034"/>
    <w:rsid w:val="00E4726A"/>
    <w:rsid w:val="00E47EFE"/>
    <w:rsid w:val="00E53FC2"/>
    <w:rsid w:val="00E56323"/>
    <w:rsid w:val="00E577A1"/>
    <w:rsid w:val="00E60452"/>
    <w:rsid w:val="00E61AAE"/>
    <w:rsid w:val="00E80901"/>
    <w:rsid w:val="00E8460C"/>
    <w:rsid w:val="00E8761C"/>
    <w:rsid w:val="00E923E7"/>
    <w:rsid w:val="00E9257A"/>
    <w:rsid w:val="00EA15EC"/>
    <w:rsid w:val="00EA1BC2"/>
    <w:rsid w:val="00EA38F0"/>
    <w:rsid w:val="00EA7C22"/>
    <w:rsid w:val="00EB0585"/>
    <w:rsid w:val="00EB0943"/>
    <w:rsid w:val="00EB260A"/>
    <w:rsid w:val="00EB41B9"/>
    <w:rsid w:val="00EC1AB7"/>
    <w:rsid w:val="00EC4C16"/>
    <w:rsid w:val="00EC546D"/>
    <w:rsid w:val="00ED2BE4"/>
    <w:rsid w:val="00EE0217"/>
    <w:rsid w:val="00EE0967"/>
    <w:rsid w:val="00EE0A18"/>
    <w:rsid w:val="00EE42D6"/>
    <w:rsid w:val="00EE69E1"/>
    <w:rsid w:val="00EE6F95"/>
    <w:rsid w:val="00EF109F"/>
    <w:rsid w:val="00F06C9F"/>
    <w:rsid w:val="00F21865"/>
    <w:rsid w:val="00F22D6B"/>
    <w:rsid w:val="00F2404C"/>
    <w:rsid w:val="00F24347"/>
    <w:rsid w:val="00F403C9"/>
    <w:rsid w:val="00F40AB5"/>
    <w:rsid w:val="00F4191F"/>
    <w:rsid w:val="00F42ACF"/>
    <w:rsid w:val="00F47309"/>
    <w:rsid w:val="00F508C0"/>
    <w:rsid w:val="00F524B7"/>
    <w:rsid w:val="00F54923"/>
    <w:rsid w:val="00F56536"/>
    <w:rsid w:val="00F664E7"/>
    <w:rsid w:val="00F7345A"/>
    <w:rsid w:val="00F74DE2"/>
    <w:rsid w:val="00F84783"/>
    <w:rsid w:val="00F864CF"/>
    <w:rsid w:val="00F93D7F"/>
    <w:rsid w:val="00F95F28"/>
    <w:rsid w:val="00F961A6"/>
    <w:rsid w:val="00FA0F6A"/>
    <w:rsid w:val="00FA50FE"/>
    <w:rsid w:val="00FA7AF3"/>
    <w:rsid w:val="00FB5406"/>
    <w:rsid w:val="00FB7644"/>
    <w:rsid w:val="00FC2371"/>
    <w:rsid w:val="00FD048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8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2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7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7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8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20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6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1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73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9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7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74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0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6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8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76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rda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52A4-FE41-4F74-9308-002D1B2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Datapoint</vt:lpstr>
      <vt:lpstr>Datapoint</vt:lpstr>
    </vt:vector>
  </TitlesOfParts>
  <Company>HP</Company>
  <LinksUpToDate>false</LinksUpToDate>
  <CharactersWithSpaces>5056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Datapoint</dc:title>
  <dc:creator>Aleksandra Prusator</dc:creator>
  <cp:lastModifiedBy>Aleksandra Prusator</cp:lastModifiedBy>
  <cp:revision>4</cp:revision>
  <cp:lastPrinted>2014-03-20T12:58:00Z</cp:lastPrinted>
  <dcterms:created xsi:type="dcterms:W3CDTF">2014-03-27T15:35:00Z</dcterms:created>
  <dcterms:modified xsi:type="dcterms:W3CDTF">2014-10-21T07:48:00Z</dcterms:modified>
</cp:coreProperties>
</file>