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331E" w14:textId="77777777" w:rsidR="00AD4774" w:rsidRPr="00FD5BCF" w:rsidRDefault="00AD4774" w:rsidP="004B627C">
      <w:pPr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343AD4B9" w14:textId="3EE14A38" w:rsidR="00AD4774" w:rsidRDefault="00974356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>
        <w:rPr>
          <w:rFonts w:ascii="Century Gothic" w:eastAsia="Arial Unicode MS" w:hAnsi="Century Gothic" w:cs="Arial Unicode MS"/>
          <w:color w:val="24323C"/>
          <w:szCs w:val="24"/>
        </w:rPr>
        <w:t>Warszawa, 03.10</w:t>
      </w:r>
      <w:r w:rsidR="00C066D3" w:rsidRPr="00C53B59">
        <w:rPr>
          <w:rFonts w:ascii="Century Gothic" w:eastAsia="Arial Unicode MS" w:hAnsi="Century Gothic" w:cs="Arial Unicode MS"/>
          <w:color w:val="24323C"/>
          <w:szCs w:val="24"/>
        </w:rPr>
        <w:t>.</w:t>
      </w:r>
      <w:r w:rsidR="00654DFC">
        <w:rPr>
          <w:rFonts w:ascii="Century Gothic" w:eastAsia="Arial Unicode MS" w:hAnsi="Century Gothic" w:cs="Arial Unicode MS"/>
          <w:color w:val="24323C"/>
          <w:szCs w:val="24"/>
        </w:rPr>
        <w:t>20</w:t>
      </w:r>
      <w:r w:rsidR="00C066D3" w:rsidRPr="00C53B59">
        <w:rPr>
          <w:rFonts w:ascii="Century Gothic" w:eastAsia="Arial Unicode MS" w:hAnsi="Century Gothic" w:cs="Arial Unicode MS"/>
          <w:color w:val="24323C"/>
          <w:szCs w:val="24"/>
        </w:rPr>
        <w:t>16</w:t>
      </w:r>
    </w:p>
    <w:p w14:paraId="288F1340" w14:textId="77777777" w:rsidR="00C53B59" w:rsidRDefault="00C53B59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</w:p>
    <w:p w14:paraId="6C5D4768" w14:textId="59962731" w:rsidR="00C53B59" w:rsidRPr="00BF7C57" w:rsidRDefault="00974356" w:rsidP="00C53B59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4"/>
        </w:rPr>
      </w:pPr>
      <w:r>
        <w:rPr>
          <w:rFonts w:ascii="Century Gothic" w:eastAsia="Arial Unicode MS" w:hAnsi="Century Gothic" w:cs="Arial Unicode MS"/>
          <w:b/>
          <w:color w:val="24323C"/>
          <w:szCs w:val="24"/>
        </w:rPr>
        <w:t>M&amp;A Index Poland 3</w:t>
      </w:r>
      <w:r w:rsidR="00C53B59" w:rsidRPr="00BF7C57">
        <w:rPr>
          <w:rFonts w:ascii="Century Gothic" w:eastAsia="Arial Unicode MS" w:hAnsi="Century Gothic" w:cs="Arial Unicode MS"/>
          <w:b/>
          <w:color w:val="24323C"/>
          <w:szCs w:val="24"/>
        </w:rPr>
        <w:t>Q 2016</w:t>
      </w:r>
      <w:r w:rsidR="00C53B59" w:rsidRPr="00BF7C57">
        <w:rPr>
          <w:rFonts w:ascii="Century Gothic" w:eastAsia="Arial Unicode MS" w:hAnsi="Century Gothic" w:cs="Arial Unicode MS"/>
          <w:b/>
          <w:color w:val="24323C"/>
          <w:szCs w:val="24"/>
        </w:rPr>
        <w:br/>
      </w:r>
      <w:r w:rsidR="00C53B59"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Fuzje i przejęcia w Polsce w </w:t>
      </w:r>
      <w:r>
        <w:rPr>
          <w:rFonts w:ascii="Century Gothic" w:eastAsia="Arial Unicode MS" w:hAnsi="Century Gothic" w:cs="Arial Unicode MS"/>
          <w:color w:val="24323C"/>
          <w:szCs w:val="24"/>
        </w:rPr>
        <w:t>trzecim</w:t>
      </w:r>
      <w:r w:rsidR="00C53B59"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 kwartale 2016 roku</w:t>
      </w:r>
    </w:p>
    <w:p w14:paraId="51894B8E" w14:textId="77777777" w:rsidR="00C53B59" w:rsidRPr="00BF7C57" w:rsidRDefault="00C53B59" w:rsidP="00C53B59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1B245A49" w14:textId="3FC1B8E8" w:rsidR="00C53B59" w:rsidRPr="00BF7C57" w:rsidRDefault="00C53B59" w:rsidP="00C53B59">
      <w:pPr>
        <w:jc w:val="both"/>
        <w:rPr>
          <w:rFonts w:ascii="Century Gothic" w:hAnsi="Century Gothic"/>
          <w:color w:val="099146"/>
          <w:szCs w:val="24"/>
        </w:rPr>
      </w:pPr>
      <w:r w:rsidRPr="00BF7C57">
        <w:rPr>
          <w:rFonts w:ascii="Century Gothic" w:hAnsi="Century Gothic"/>
          <w:color w:val="099146"/>
          <w:szCs w:val="24"/>
        </w:rPr>
        <w:t>Eksperci FORDATA, lidera w zakresie rozwi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za</w:t>
      </w:r>
      <w:r w:rsidRPr="00BF7C57">
        <w:rPr>
          <w:rFonts w:ascii="Century Gothic" w:hAnsi="Century Gothic" w:cs="Lucida Grande"/>
          <w:color w:val="099146"/>
          <w:szCs w:val="24"/>
        </w:rPr>
        <w:t>ń</w:t>
      </w:r>
      <w:r w:rsidRPr="00BF7C57">
        <w:rPr>
          <w:rFonts w:ascii="Century Gothic" w:hAnsi="Century Gothic"/>
          <w:color w:val="099146"/>
          <w:szCs w:val="24"/>
        </w:rPr>
        <w:t xml:space="preserve"> Virtual Data Room wspieraj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cych realizacj</w:t>
      </w:r>
      <w:r w:rsidRPr="00BF7C57">
        <w:rPr>
          <w:rFonts w:ascii="Century Gothic" w:hAnsi="Century Gothic" w:cs="Lucida Grande"/>
          <w:color w:val="099146"/>
          <w:szCs w:val="24"/>
        </w:rPr>
        <w:t>ę</w:t>
      </w:r>
      <w:r w:rsidRPr="00BF7C57">
        <w:rPr>
          <w:rFonts w:ascii="Century Gothic" w:hAnsi="Century Gothic"/>
          <w:color w:val="099146"/>
          <w:szCs w:val="24"/>
        </w:rPr>
        <w:t xml:space="preserve"> z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o</w:t>
      </w:r>
      <w:r w:rsidRPr="00BF7C57">
        <w:rPr>
          <w:rFonts w:ascii="Century Gothic" w:hAnsi="Century Gothic" w:cs="Lucida Grande"/>
          <w:color w:val="099146"/>
          <w:szCs w:val="24"/>
        </w:rPr>
        <w:t>ż</w:t>
      </w:r>
      <w:r w:rsidRPr="00BF7C57">
        <w:rPr>
          <w:rFonts w:ascii="Century Gothic" w:hAnsi="Century Gothic"/>
          <w:color w:val="099146"/>
          <w:szCs w:val="24"/>
        </w:rPr>
        <w:t>onych procesów transakcyjnych, przez ca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y rok wspólnie z firm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doradcz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</w:t>
      </w:r>
      <w:proofErr w:type="spellStart"/>
      <w:r w:rsidRPr="00BF7C57">
        <w:rPr>
          <w:rFonts w:ascii="Century Gothic" w:hAnsi="Century Gothic"/>
          <w:color w:val="099146"/>
          <w:szCs w:val="24"/>
        </w:rPr>
        <w:t>Navigator</w:t>
      </w:r>
      <w:proofErr w:type="spellEnd"/>
      <w:r w:rsidRPr="00BF7C57">
        <w:rPr>
          <w:rFonts w:ascii="Century Gothic" w:hAnsi="Century Gothic"/>
          <w:color w:val="099146"/>
          <w:szCs w:val="24"/>
        </w:rPr>
        <w:t xml:space="preserve"> Capital obserwuj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rynek M&amp;A w Polsce, Europie i na </w:t>
      </w:r>
      <w:r w:rsidRPr="00BF7C57">
        <w:rPr>
          <w:rFonts w:ascii="Century Gothic" w:hAnsi="Century Gothic" w:cs="Lucida Grande"/>
          <w:color w:val="099146"/>
          <w:szCs w:val="24"/>
        </w:rPr>
        <w:t>ś</w:t>
      </w:r>
      <w:r w:rsidRPr="00BF7C57">
        <w:rPr>
          <w:rFonts w:ascii="Century Gothic" w:hAnsi="Century Gothic"/>
          <w:color w:val="099146"/>
          <w:szCs w:val="24"/>
        </w:rPr>
        <w:t>wiecie. Wnioski ze zgromadzonych danych dotycz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ce polskiej sceny transakcyjnej publikuj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w ramach </w:t>
      </w:r>
      <w:r w:rsidRPr="00BF7C57">
        <w:rPr>
          <w:rFonts w:ascii="Century Gothic" w:hAnsi="Century Gothic"/>
          <w:b/>
          <w:color w:val="099146"/>
          <w:szCs w:val="24"/>
        </w:rPr>
        <w:t>raportów M&amp;A Index Poland.</w:t>
      </w:r>
    </w:p>
    <w:p w14:paraId="5CA851DF" w14:textId="77777777" w:rsidR="00C53B59" w:rsidRPr="00BF7C57" w:rsidRDefault="00C53B59" w:rsidP="00C53B59">
      <w:pPr>
        <w:jc w:val="both"/>
        <w:rPr>
          <w:rFonts w:ascii="Century Gothic" w:hAnsi="Century Gothic"/>
          <w:color w:val="099146"/>
          <w:sz w:val="20"/>
          <w:szCs w:val="24"/>
        </w:rPr>
      </w:pPr>
    </w:p>
    <w:p w14:paraId="4059D06C" w14:textId="3B14D564" w:rsidR="00C53B59" w:rsidRPr="00BF7C57" w:rsidRDefault="00C53B59" w:rsidP="00C53B59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  <w:szCs w:val="24"/>
        </w:rPr>
      </w:pP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Komentarz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Alicji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 xml:space="preserve"> Kukla-Kowal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skiej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>,</w:t>
      </w:r>
      <w:r w:rsidR="00654DFC">
        <w:rPr>
          <w:rFonts w:ascii="Century Gothic" w:eastAsiaTheme="minorHAnsi" w:hAnsi="Century Gothic" w:cs="Lucida Grande"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Key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Account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Manager</w:t>
      </w:r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z FORDATA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, podsumowujący transakcje fuzji i przejęć w </w:t>
      </w:r>
      <w:r w:rsidR="00974356">
        <w:rPr>
          <w:rFonts w:ascii="Century Gothic" w:eastAsiaTheme="minorHAnsi" w:hAnsi="Century Gothic" w:cs="Lucida Grande"/>
          <w:sz w:val="20"/>
          <w:szCs w:val="24"/>
        </w:rPr>
        <w:t>trzecim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 kwartale 2016 roku.</w:t>
      </w:r>
    </w:p>
    <w:p w14:paraId="4B6E184B" w14:textId="77777777" w:rsidR="0076079D" w:rsidRDefault="0076079D" w:rsidP="00AD4774">
      <w:pPr>
        <w:spacing w:line="240" w:lineRule="auto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</w:p>
    <w:p w14:paraId="7E8019DB" w14:textId="2D0D5220" w:rsidR="00974356" w:rsidRPr="00974356" w:rsidRDefault="00974356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  <w:sz w:val="24"/>
          <w:szCs w:val="24"/>
        </w:rPr>
      </w:pPr>
      <w:r w:rsidRPr="00974356">
        <w:rPr>
          <w:rFonts w:ascii="Century Gothic" w:hAnsi="Century Gothic"/>
          <w:color w:val="099146"/>
          <w:sz w:val="24"/>
          <w:szCs w:val="24"/>
        </w:rPr>
        <w:t>Polskie M&amp;A czeka na przypływ</w:t>
      </w:r>
      <w:r>
        <w:rPr>
          <w:rFonts w:ascii="Century Gothic" w:hAnsi="Century Gothic"/>
          <w:color w:val="099146"/>
          <w:sz w:val="24"/>
          <w:szCs w:val="24"/>
        </w:rPr>
        <w:br/>
      </w:r>
    </w:p>
    <w:p w14:paraId="136CE8F0" w14:textId="77777777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>Oczekiwana fala fuzji i przejęć nie dotarła jeszcze do polskiego brzegu. Trzeci kwartał zamknął się zaledwie 33 transakcjami, o 20 mniej niż ubiegły, a łącznie trzy kwartały 2016 roku zanotowały 132. W ubiegłym roku trzeci kwartał mógł się pochwalić 66 kontraktami, a trzy kwartały 2015 r. wypracowały 177 transakcji, czyli o 26 proc. więcej niż w tym roku.</w:t>
      </w:r>
    </w:p>
    <w:p w14:paraId="5430F4C3" w14:textId="77777777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>Optymizmem napawa fakt, że w porównaniu do lat 2013-14 polski rynek M&amp;A notuje ciągły, chociaż nieśmiały i chimeryczny wzrost. Przewidujemy, że stabilizacja na rynku zostanie utrzymana, a nawet liczba transakcji w Polsce w ostatnim kwartale 2016 roku możne wzrosnąć. Taką zależność obserwujemy od trzech lat. Zwykle czwarty kwartał był najmocniejszy pod względem ilości transakcji w stosunku do jego poprzedników.</w:t>
      </w:r>
    </w:p>
    <w:p w14:paraId="752AB1CE" w14:textId="53C69E6D" w:rsidR="00974356" w:rsidRPr="00974356" w:rsidRDefault="00974356" w:rsidP="00974356">
      <w:pPr>
        <w:spacing w:before="450" w:after="0" w:line="300" w:lineRule="atLeast"/>
        <w:outlineLvl w:val="1"/>
        <w:rPr>
          <w:rFonts w:ascii="Helvetica" w:eastAsia="Times New Roman" w:hAnsi="Helvetica" w:cs="Helvetica"/>
          <w:color w:val="333333"/>
          <w:sz w:val="34"/>
          <w:szCs w:val="34"/>
          <w:lang w:eastAsia="pl-PL"/>
        </w:rPr>
      </w:pPr>
      <w:r w:rsidRPr="00974356">
        <w:rPr>
          <w:rFonts w:ascii="Century Gothic" w:hAnsi="Century Gothic"/>
          <w:color w:val="099146"/>
          <w:sz w:val="24"/>
          <w:szCs w:val="24"/>
        </w:rPr>
        <w:t>Wartość transakcji nadal spada</w:t>
      </w:r>
      <w:r>
        <w:rPr>
          <w:rFonts w:ascii="Century Gothic" w:hAnsi="Century Gothic"/>
          <w:color w:val="099146"/>
          <w:sz w:val="24"/>
          <w:szCs w:val="24"/>
        </w:rPr>
        <w:br/>
      </w:r>
    </w:p>
    <w:p w14:paraId="01F42B4B" w14:textId="77777777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Na tle rynku CEE, który notuje nadal spadek wartości i ilości transakcji, najlepiej radzą sobie Polska - pod względem ilości transakcji i Rosja - pod względem ich wartości. Europa Zachodnia notuje spadki ilości transakcji w porównaniu do 2015, ale także rekordy jeśli chodzi o ich wartość. Najlepiej radzi sobie Wlk. Brytania. Globalny rynek M&amp;A notuje rekordowe transakcje: Dell kupuje EMC za 67 mld dol., a Microsoft –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Linkedin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za 26 mld dol.</w:t>
      </w:r>
    </w:p>
    <w:p w14:paraId="51F406A7" w14:textId="77777777" w:rsidR="00264BF5" w:rsidRDefault="00264BF5">
      <w:pPr>
        <w:rPr>
          <w:rFonts w:ascii="Century Gothic" w:hAnsi="Century Gothic"/>
          <w:color w:val="099146"/>
          <w:sz w:val="24"/>
          <w:szCs w:val="24"/>
        </w:rPr>
      </w:pPr>
      <w:r>
        <w:rPr>
          <w:rFonts w:ascii="Century Gothic" w:hAnsi="Century Gothic"/>
          <w:color w:val="099146"/>
          <w:sz w:val="24"/>
          <w:szCs w:val="24"/>
        </w:rPr>
        <w:br w:type="page"/>
      </w:r>
    </w:p>
    <w:p w14:paraId="19B0104F" w14:textId="77777777" w:rsidR="00264BF5" w:rsidRDefault="00264BF5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  <w:sz w:val="24"/>
          <w:szCs w:val="24"/>
        </w:rPr>
      </w:pPr>
    </w:p>
    <w:p w14:paraId="0F2D8EAD" w14:textId="34879F38" w:rsidR="00974356" w:rsidRPr="00974356" w:rsidRDefault="00974356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  <w:sz w:val="24"/>
          <w:szCs w:val="24"/>
        </w:rPr>
      </w:pPr>
      <w:r w:rsidRPr="00974356">
        <w:rPr>
          <w:rFonts w:ascii="Century Gothic" w:hAnsi="Century Gothic"/>
          <w:color w:val="099146"/>
          <w:sz w:val="24"/>
          <w:szCs w:val="24"/>
        </w:rPr>
        <w:t>13 transakcji z ujawnioną wartością poniżej 100 mln zł</w:t>
      </w:r>
      <w:r>
        <w:rPr>
          <w:rFonts w:ascii="Century Gothic" w:hAnsi="Century Gothic"/>
          <w:color w:val="099146"/>
          <w:sz w:val="24"/>
          <w:szCs w:val="24"/>
        </w:rPr>
        <w:br/>
      </w:r>
    </w:p>
    <w:p w14:paraId="61C73FB1" w14:textId="2F5DD852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>Największa polska transakcja trzeciego kwartału to sprzedaż około 10 proc. akcji Pekao za 3,3 mld zł przez 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UniCredit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>. Z dostępnych informacji wynika, ze 13 transakcji z ujawnioną wartością to te, których wartość wyniosła poniżej 100 mln zł. Wśród transakcji z ujawniona cena, tylko 2 przekroczyły wartość 100 mln EUR. Dla porównania w Q1 były to trzy transakcje, a w Q2 - dwie. Od ponad 1,5 roku obserwujemy trend spadku wartości transakcji M&amp;A w Polsce. W naszych zestawieniach dominują transakcje o wartości poniżej 100 mln z</w:t>
      </w:r>
      <w:r w:rsidR="00264BF5">
        <w:rPr>
          <w:rFonts w:ascii="Century Gothic" w:eastAsia="Arial Unicode MS" w:hAnsi="Century Gothic" w:cs="Arial Unicode MS"/>
          <w:color w:val="24323C"/>
          <w:szCs w:val="24"/>
        </w:rPr>
        <w:t>łotych. Ten trend utrzymywał się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w pierwszej połowie 2016 i zgodnie z naszym przewidywaniem początek drugiej połowy roku wygląda podobnie.</w:t>
      </w:r>
    </w:p>
    <w:p w14:paraId="33E346AA" w14:textId="735E12CE" w:rsidR="00974356" w:rsidRPr="00974356" w:rsidRDefault="00974356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  <w:sz w:val="24"/>
          <w:szCs w:val="24"/>
        </w:rPr>
      </w:pPr>
      <w:r w:rsidRPr="00974356">
        <w:rPr>
          <w:rFonts w:ascii="Century Gothic" w:hAnsi="Century Gothic"/>
          <w:color w:val="099146"/>
          <w:sz w:val="24"/>
          <w:szCs w:val="24"/>
        </w:rPr>
        <w:t>Najwięcej transakcji w sektorze ochrony zdrowia</w:t>
      </w:r>
      <w:r>
        <w:rPr>
          <w:rFonts w:ascii="Century Gothic" w:hAnsi="Century Gothic"/>
          <w:color w:val="099146"/>
          <w:sz w:val="24"/>
          <w:szCs w:val="24"/>
        </w:rPr>
        <w:br/>
      </w:r>
    </w:p>
    <w:p w14:paraId="311AA7AC" w14:textId="641707A2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>W pierwszym półroczu 2016 r. najba</w:t>
      </w:r>
      <w:r w:rsidR="00264BF5">
        <w:rPr>
          <w:rFonts w:ascii="Century Gothic" w:eastAsia="Arial Unicode MS" w:hAnsi="Century Gothic" w:cs="Arial Unicode MS"/>
          <w:color w:val="24323C"/>
          <w:szCs w:val="24"/>
        </w:rPr>
        <w:t>rdziej aktywne po stronie kupujących były firmy świadczą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>ce usługi finans</w:t>
      </w:r>
      <w:r w:rsidR="00264BF5">
        <w:rPr>
          <w:rFonts w:ascii="Century Gothic" w:eastAsia="Arial Unicode MS" w:hAnsi="Century Gothic" w:cs="Arial Unicode MS"/>
          <w:color w:val="24323C"/>
          <w:szCs w:val="24"/>
        </w:rPr>
        <w:t>owe oraz fundusze PE/VC, chociaż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ci ostatni zdecydowanie rzadziej byli aktywni w regionie CEE w stosunku do 2015. Po stronie </w:t>
      </w:r>
      <w:r w:rsidR="00264BF5" w:rsidRPr="00974356">
        <w:rPr>
          <w:rFonts w:ascii="Century Gothic" w:eastAsia="Arial Unicode MS" w:hAnsi="Century Gothic" w:cs="Arial Unicode MS"/>
          <w:color w:val="24323C"/>
          <w:szCs w:val="24"/>
        </w:rPr>
        <w:t>sprzedających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dominowali inwestorzy prywatni, a obiektem </w:t>
      </w:r>
      <w:r w:rsidR="00264BF5" w:rsidRPr="00974356">
        <w:rPr>
          <w:rFonts w:ascii="Century Gothic" w:eastAsia="Arial Unicode MS" w:hAnsi="Century Gothic" w:cs="Arial Unicode MS"/>
          <w:color w:val="24323C"/>
          <w:szCs w:val="24"/>
        </w:rPr>
        <w:t>przejęcia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były </w:t>
      </w:r>
      <w:r w:rsidR="00264BF5" w:rsidRPr="00974356">
        <w:rPr>
          <w:rFonts w:ascii="Century Gothic" w:eastAsia="Arial Unicode MS" w:hAnsi="Century Gothic" w:cs="Arial Unicode MS"/>
          <w:color w:val="24323C"/>
          <w:szCs w:val="24"/>
        </w:rPr>
        <w:t>najczęściej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spółki z sektora Media/IT/Telekomunikacja. W Q3 po stronie podmiotów przejmowanych </w:t>
      </w:r>
      <w:r w:rsidR="00264BF5" w:rsidRPr="00974356">
        <w:rPr>
          <w:rFonts w:ascii="Century Gothic" w:eastAsia="Arial Unicode MS" w:hAnsi="Century Gothic" w:cs="Arial Unicode MS"/>
          <w:color w:val="24323C"/>
          <w:szCs w:val="24"/>
        </w:rPr>
        <w:t>najwięcej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było spółek z sektora ochrony zdrowia. Natomiast po stronie kupującej nadal dominują fundusze PE/VC, a także inwestorzy z sektora ochrony zdrowia. Stronę sprzedającą nadal najczęściej reprezentują inwestorzy prywatni. Spodziewamy się, ze w drugiej połowie 2016 zwiększy się ilość transakcji w sektorze Tel</w:t>
      </w:r>
      <w:r>
        <w:rPr>
          <w:rFonts w:ascii="Century Gothic" w:eastAsia="Arial Unicode MS" w:hAnsi="Century Gothic" w:cs="Arial Unicode MS"/>
          <w:color w:val="24323C"/>
          <w:szCs w:val="24"/>
        </w:rPr>
        <w:t xml:space="preserve">kom, IT oraz opieki zdrowotnej. </w:t>
      </w: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Obszarem IT, w którym konsolidacja zdecydowanie przyspieszyła, jest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cloud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comput</w:t>
      </w:r>
      <w:bookmarkStart w:id="0" w:name="_GoBack"/>
      <w:bookmarkEnd w:id="0"/>
      <w:r w:rsidRPr="00974356">
        <w:rPr>
          <w:rFonts w:ascii="Century Gothic" w:eastAsia="Arial Unicode MS" w:hAnsi="Century Gothic" w:cs="Arial Unicode MS"/>
          <w:color w:val="24323C"/>
          <w:szCs w:val="24"/>
        </w:rPr>
        <w:t>ing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. Analitycy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Forrestera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donoszą, ze trend ten będzie się nasilał – zwłaszcza w bieżącym roku. Przewidują oni, ze trzech największych dostawców usług chmurowych – IBM, Amazon i Microsoft – będzie systematycznie poszerzać swoje strefy wpływów realizując politykę przejęć.</w:t>
      </w:r>
    </w:p>
    <w:p w14:paraId="669F4900" w14:textId="77777777" w:rsidR="00974356" w:rsidRPr="00974356" w:rsidRDefault="00974356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  <w:sz w:val="24"/>
          <w:szCs w:val="24"/>
        </w:rPr>
      </w:pPr>
      <w:r w:rsidRPr="00974356">
        <w:rPr>
          <w:rFonts w:ascii="Century Gothic" w:hAnsi="Century Gothic"/>
          <w:color w:val="099146"/>
          <w:sz w:val="24"/>
          <w:szCs w:val="24"/>
        </w:rPr>
        <w:t xml:space="preserve">Virtual Data </w:t>
      </w:r>
      <w:proofErr w:type="spellStart"/>
      <w:r w:rsidRPr="00974356">
        <w:rPr>
          <w:rFonts w:ascii="Century Gothic" w:hAnsi="Century Gothic"/>
          <w:color w:val="099146"/>
          <w:sz w:val="24"/>
          <w:szCs w:val="24"/>
        </w:rPr>
        <w:t>Room</w:t>
      </w:r>
      <w:proofErr w:type="spellEnd"/>
      <w:r w:rsidRPr="00974356">
        <w:rPr>
          <w:rFonts w:ascii="Century Gothic" w:hAnsi="Century Gothic"/>
          <w:color w:val="099146"/>
          <w:sz w:val="24"/>
          <w:szCs w:val="24"/>
        </w:rPr>
        <w:t xml:space="preserve"> nadal wykorzystywany w transakcjach</w:t>
      </w:r>
      <w:r w:rsidRPr="00974356">
        <w:rPr>
          <w:rFonts w:ascii="Century Gothic" w:hAnsi="Century Gothic"/>
          <w:color w:val="099146"/>
          <w:sz w:val="24"/>
          <w:szCs w:val="24"/>
        </w:rPr>
        <w:br/>
      </w:r>
    </w:p>
    <w:p w14:paraId="07C064D6" w14:textId="77777777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Z dostępnych danych wynika, że w tym kwartale Virtual Data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Room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został użyty podczas 7 transakcji. Obserwacja rynku pozwala jednak założyć, że transakcji zorganizowanych z użyciem VDR było więcej, jednak niestety nie wszystkie firmy zdecydowały się poinformować o tym rynek.</w:t>
      </w:r>
    </w:p>
    <w:p w14:paraId="7AE9256E" w14:textId="77777777" w:rsidR="00974356" w:rsidRPr="00974356" w:rsidRDefault="00974356" w:rsidP="00974356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Cs w:val="24"/>
        </w:rPr>
      </w:pPr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To co możne studzić entuzjazm inwestorów na całym świecie to </w:t>
      </w:r>
      <w:proofErr w:type="spellStart"/>
      <w:r w:rsidRPr="00974356">
        <w:rPr>
          <w:rFonts w:ascii="Century Gothic" w:eastAsia="Arial Unicode MS" w:hAnsi="Century Gothic" w:cs="Arial Unicode MS"/>
          <w:color w:val="24323C"/>
          <w:szCs w:val="24"/>
        </w:rPr>
        <w:t>Brexit</w:t>
      </w:r>
      <w:proofErr w:type="spellEnd"/>
      <w:r w:rsidRPr="00974356">
        <w:rPr>
          <w:rFonts w:ascii="Century Gothic" w:eastAsia="Arial Unicode MS" w:hAnsi="Century Gothic" w:cs="Arial Unicode MS"/>
          <w:color w:val="24323C"/>
          <w:szCs w:val="24"/>
        </w:rPr>
        <w:t xml:space="preserve"> i wciąż niepewność dotycząca skutków jakie wywrze na UE. Niepewność widoczna jest na całym świecie. Poza rezultatem referendum w Wielkiej Brytanii, niepewność wywołują przewidywane od dłuższego czasu spowolnienie wzrostu gospodarczego Chin, kryzys migracyjny w Europie, a także, wybory w Stanach Zjednoczonych i zaostrzanie w wielu krajach polityki podatkowej względem korporacji.</w:t>
      </w:r>
    </w:p>
    <w:p w14:paraId="4284CCBC" w14:textId="0391769D" w:rsidR="00FD5BCF" w:rsidRPr="00974356" w:rsidRDefault="00FD5BCF" w:rsidP="00B36C6F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eastAsia="pl-PL"/>
        </w:rPr>
      </w:pPr>
    </w:p>
    <w:p w14:paraId="7BAF328B" w14:textId="77777777" w:rsidR="00FD5BCF" w:rsidRDefault="00FD5BC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0F243EF3" w14:textId="77777777" w:rsidR="008B6A9E" w:rsidRDefault="008B6A9E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1A320D50" w14:textId="77777777" w:rsidR="00B36C6F" w:rsidRDefault="00B36C6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0D356FC3" w14:textId="77777777" w:rsidR="00B36C6F" w:rsidRDefault="00B36C6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233C2559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innych krajach Europy Środkowej i Wschodniej. Nasze systemy podniosły bezpieczeństwo i efektywność kilkuset transakcji różnego typu, o łącznej wartości ponad 32 mld PLN. Z usług FORDATA korzystają liderzy branż w Polsce i za granicą: fundusz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 Enterprise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Enea SA, Home.pl, Grupa LOTOS, PZU SA, Grant Thornton, NFI Empik, ZELMER, Bank DNB, BOŚ Bank, Polimex Mostostal, Budimex, DM PKO Banku Polskiego, Deloitte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557196E8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01B71861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682EE966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Kontakt dla mediów:</w:t>
      </w:r>
    </w:p>
    <w:p w14:paraId="6ABCD5AE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Prusator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e-mail: aleksandra.prusator@fordata.pl,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0FBB37E1" w14:textId="531AC70D" w:rsidR="00D24FB5" w:rsidRPr="00FD5BCF" w:rsidRDefault="00B36C6F" w:rsidP="00D24FB5">
      <w:pPr>
        <w:spacing w:after="0"/>
        <w:jc w:val="both"/>
        <w:rPr>
          <w:rFonts w:asciiTheme="minorHAnsi" w:eastAsia="Arial Unicode MS" w:hAnsiTheme="minorHAnsi" w:cs="Arial Unicode MS"/>
          <w:sz w:val="18"/>
          <w:szCs w:val="18"/>
          <w:lang w:val="en-US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Beata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Milewicz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, e-mail: beata.milewicz@letson.pl,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: 508 051</w:t>
      </w:r>
      <w:r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 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138</w:t>
      </w:r>
    </w:p>
    <w:sectPr w:rsidR="00D24FB5" w:rsidRPr="00FD5BCF" w:rsidSect="00B420E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0C49" w14:textId="77777777" w:rsidR="0032407B" w:rsidRDefault="0032407B" w:rsidP="00F55936">
      <w:pPr>
        <w:spacing w:after="0" w:line="240" w:lineRule="auto"/>
      </w:pPr>
      <w:r>
        <w:separator/>
      </w:r>
    </w:p>
  </w:endnote>
  <w:endnote w:type="continuationSeparator" w:id="0">
    <w:p w14:paraId="1B51DA0A" w14:textId="77777777" w:rsidR="0032407B" w:rsidRDefault="0032407B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1C271A" w:rsidRPr="00051B2C" w:rsidRDefault="001C271A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6297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1C271A" w:rsidRDefault="001C271A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3767" w14:textId="77777777" w:rsidR="0032407B" w:rsidRDefault="0032407B" w:rsidP="00F55936">
      <w:pPr>
        <w:spacing w:after="0" w:line="240" w:lineRule="auto"/>
      </w:pPr>
      <w:r>
        <w:separator/>
      </w:r>
    </w:p>
  </w:footnote>
  <w:footnote w:type="continuationSeparator" w:id="0">
    <w:p w14:paraId="480D47B6" w14:textId="77777777" w:rsidR="0032407B" w:rsidRDefault="0032407B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FEA3" w14:textId="77777777" w:rsidR="001C271A" w:rsidRDefault="0032407B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4E2D" w14:textId="77777777" w:rsidR="001C271A" w:rsidRDefault="0032407B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1C271A">
      <w:rPr>
        <w:sz w:val="24"/>
      </w:rPr>
      <w:tab/>
    </w:r>
    <w:r w:rsidR="001C271A">
      <w:rPr>
        <w:sz w:val="24"/>
      </w:rPr>
      <w:tab/>
    </w:r>
    <w:r w:rsidR="001C271A">
      <w:rPr>
        <w:sz w:val="24"/>
      </w:rPr>
      <w:tab/>
    </w:r>
  </w:p>
  <w:p w14:paraId="7602F6BA" w14:textId="77777777" w:rsidR="001C271A" w:rsidRDefault="001C271A" w:rsidP="0049735E">
    <w:pPr>
      <w:pStyle w:val="Nagwek"/>
      <w:jc w:val="right"/>
      <w:rPr>
        <w:sz w:val="24"/>
      </w:rPr>
    </w:pPr>
  </w:p>
  <w:p w14:paraId="6AC02A5D" w14:textId="77777777" w:rsidR="001C271A" w:rsidRDefault="001C27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19A6" w14:textId="77777777" w:rsidR="001C271A" w:rsidRDefault="0032407B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6C4BB8"/>
    <w:multiLevelType w:val="hybridMultilevel"/>
    <w:tmpl w:val="14D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0A2C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37B2E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271A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181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0FE5"/>
    <w:rsid w:val="00221033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BF5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07B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645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2C93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87B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036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38D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5F46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50F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4DFC"/>
    <w:rsid w:val="006555B5"/>
    <w:rsid w:val="00655AC6"/>
    <w:rsid w:val="0065601C"/>
    <w:rsid w:val="00656172"/>
    <w:rsid w:val="00656606"/>
    <w:rsid w:val="00656C49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2E45"/>
    <w:rsid w:val="00713C04"/>
    <w:rsid w:val="00714B83"/>
    <w:rsid w:val="00714FE3"/>
    <w:rsid w:val="0071508E"/>
    <w:rsid w:val="00715CCD"/>
    <w:rsid w:val="00715FFC"/>
    <w:rsid w:val="00716DCB"/>
    <w:rsid w:val="0071734D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5D7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3D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79D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7DA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737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5D6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8CC"/>
    <w:rsid w:val="00872F77"/>
    <w:rsid w:val="00873B0B"/>
    <w:rsid w:val="00874330"/>
    <w:rsid w:val="00875510"/>
    <w:rsid w:val="00875797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A9E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D8F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356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6C6F"/>
    <w:rsid w:val="00B37486"/>
    <w:rsid w:val="00B3760D"/>
    <w:rsid w:val="00B37B14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3657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03BC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334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66D3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00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3B59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2979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000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3E56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8A0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1DDF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0E73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7B8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297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5BCF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  <w15:docId w15:val="{2C24ECD9-5E0D-4C9B-9539-6B689AD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74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74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AFEC-E425-4637-BF76-79480996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agnieszka.dryk</cp:lastModifiedBy>
  <cp:revision>3</cp:revision>
  <cp:lastPrinted>2016-07-04T22:17:00Z</cp:lastPrinted>
  <dcterms:created xsi:type="dcterms:W3CDTF">2016-10-03T06:20:00Z</dcterms:created>
  <dcterms:modified xsi:type="dcterms:W3CDTF">2016-10-03T06:22:00Z</dcterms:modified>
</cp:coreProperties>
</file>