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74" w:rsidRDefault="00AD4774" w:rsidP="004B627C">
      <w:pPr>
        <w:jc w:val="both"/>
        <w:rPr>
          <w:rFonts w:ascii="Century Gothic" w:eastAsia="Arial Unicode MS" w:hAnsi="Century Gothic" w:cs="Arial Unicode MS"/>
          <w:color w:val="24323C"/>
          <w:szCs w:val="20"/>
        </w:rPr>
      </w:pPr>
    </w:p>
    <w:p w:rsidR="00AD4774" w:rsidRPr="00AD4774" w:rsidRDefault="00AD4774" w:rsidP="00AD4774">
      <w:pPr>
        <w:jc w:val="right"/>
        <w:rPr>
          <w:rFonts w:ascii="Century Gothic" w:eastAsia="Arial Unicode MS" w:hAnsi="Century Gothic" w:cs="Arial Unicode MS"/>
          <w:color w:val="24323C"/>
          <w:szCs w:val="20"/>
        </w:rPr>
      </w:pPr>
      <w:r w:rsidRPr="00AD4774">
        <w:rPr>
          <w:rFonts w:ascii="Century Gothic" w:eastAsia="Arial Unicode MS" w:hAnsi="Century Gothic" w:cs="Arial Unicode MS"/>
          <w:color w:val="24323C"/>
          <w:szCs w:val="20"/>
        </w:rPr>
        <w:t>Warszawa, 04.01.2016</w:t>
      </w:r>
    </w:p>
    <w:p w:rsidR="00AD4774" w:rsidRDefault="00AD4774" w:rsidP="00AD4774">
      <w:pPr>
        <w:spacing w:line="240" w:lineRule="auto"/>
        <w:rPr>
          <w:rFonts w:ascii="Century Gothic" w:eastAsia="Arial Unicode MS" w:hAnsi="Century Gothic" w:cs="Arial Unicode MS"/>
          <w:b/>
          <w:color w:val="24323C"/>
          <w:szCs w:val="20"/>
        </w:rPr>
      </w:pPr>
    </w:p>
    <w:p w:rsidR="00AD4774" w:rsidRPr="00AD4774" w:rsidRDefault="00AD4774" w:rsidP="00AD4774">
      <w:pPr>
        <w:spacing w:line="240" w:lineRule="auto"/>
        <w:rPr>
          <w:rFonts w:ascii="Century Gothic" w:eastAsia="Arial Unicode MS" w:hAnsi="Century Gothic" w:cs="Arial Unicode MS"/>
          <w:b/>
          <w:color w:val="24323C"/>
          <w:szCs w:val="20"/>
        </w:rPr>
      </w:pPr>
      <w:bookmarkStart w:id="0" w:name="_GoBack"/>
      <w:bookmarkEnd w:id="0"/>
      <w:r w:rsidRPr="00AD4774">
        <w:rPr>
          <w:rFonts w:ascii="Century Gothic" w:eastAsia="Arial Unicode MS" w:hAnsi="Century Gothic" w:cs="Arial Unicode MS"/>
          <w:b/>
          <w:color w:val="24323C"/>
          <w:szCs w:val="20"/>
        </w:rPr>
        <w:t>M&amp;A Index Poland 4Q 2015</w:t>
      </w:r>
      <w:r w:rsidRPr="00AD4774">
        <w:rPr>
          <w:rFonts w:ascii="Century Gothic" w:eastAsia="Arial Unicode MS" w:hAnsi="Century Gothic" w:cs="Arial Unicode MS"/>
          <w:b/>
          <w:color w:val="24323C"/>
          <w:szCs w:val="20"/>
        </w:rPr>
        <w:br/>
      </w:r>
      <w:r w:rsidRPr="00AD4774">
        <w:rPr>
          <w:rFonts w:ascii="Century Gothic" w:eastAsia="Arial Unicode MS" w:hAnsi="Century Gothic" w:cs="Arial Unicode MS"/>
          <w:color w:val="24323C"/>
          <w:szCs w:val="20"/>
        </w:rPr>
        <w:t>Fuzje i przejęcia w Polsce w czwartym kwartale 2015 roku</w:t>
      </w:r>
    </w:p>
    <w:p w:rsidR="00AD4774" w:rsidRDefault="00AD4774" w:rsidP="004B627C">
      <w:pPr>
        <w:jc w:val="both"/>
        <w:rPr>
          <w:rFonts w:ascii="Century Gothic" w:eastAsia="Arial Unicode MS" w:hAnsi="Century Gothic" w:cs="Arial Unicode MS"/>
          <w:color w:val="24323C"/>
          <w:szCs w:val="20"/>
        </w:rPr>
      </w:pPr>
    </w:p>
    <w:p w:rsidR="004B627C" w:rsidRDefault="004B627C" w:rsidP="004B627C">
      <w:pPr>
        <w:jc w:val="both"/>
        <w:rPr>
          <w:rFonts w:ascii="Century Gothic" w:hAnsi="Century Gothic"/>
          <w:color w:val="099146"/>
        </w:rPr>
      </w:pPr>
      <w:r w:rsidRPr="00D16060">
        <w:rPr>
          <w:rFonts w:ascii="Century Gothic" w:hAnsi="Century Gothic"/>
          <w:color w:val="099146"/>
        </w:rPr>
        <w:t>Eksperci FORDATA, lidera w zakresie rozwi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>za</w:t>
      </w:r>
      <w:r w:rsidRPr="00D16060">
        <w:rPr>
          <w:rFonts w:ascii="Lucida Grande" w:hAnsi="Lucida Grande" w:cs="Lucida Grande"/>
          <w:color w:val="099146"/>
        </w:rPr>
        <w:t>ń</w:t>
      </w:r>
      <w:r w:rsidRPr="00D16060">
        <w:rPr>
          <w:rFonts w:ascii="Century Gothic" w:hAnsi="Century Gothic"/>
          <w:color w:val="099146"/>
        </w:rPr>
        <w:t xml:space="preserve"> Virtual Data Room wspieraj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>cych realizacj</w:t>
      </w:r>
      <w:r w:rsidRPr="00D16060">
        <w:rPr>
          <w:rFonts w:ascii="Lucida Grande" w:hAnsi="Lucida Grande" w:cs="Lucida Grande"/>
          <w:color w:val="099146"/>
        </w:rPr>
        <w:t>ę</w:t>
      </w:r>
      <w:r w:rsidRPr="00D16060">
        <w:rPr>
          <w:rFonts w:ascii="Century Gothic" w:hAnsi="Century Gothic"/>
          <w:color w:val="099146"/>
        </w:rPr>
        <w:t xml:space="preserve"> z</w:t>
      </w:r>
      <w:r w:rsidRPr="00D16060">
        <w:rPr>
          <w:rFonts w:ascii="Lucida Grande" w:hAnsi="Lucida Grande" w:cs="Lucida Grande"/>
          <w:color w:val="099146"/>
        </w:rPr>
        <w:t>ł</w:t>
      </w:r>
      <w:r w:rsidRPr="00D16060">
        <w:rPr>
          <w:rFonts w:ascii="Century Gothic" w:hAnsi="Century Gothic"/>
          <w:color w:val="099146"/>
        </w:rPr>
        <w:t>o</w:t>
      </w:r>
      <w:r w:rsidRPr="00D16060">
        <w:rPr>
          <w:rFonts w:ascii="Lucida Grande" w:hAnsi="Lucida Grande" w:cs="Lucida Grande"/>
          <w:color w:val="099146"/>
        </w:rPr>
        <w:t>ż</w:t>
      </w:r>
      <w:r w:rsidRPr="00D16060">
        <w:rPr>
          <w:rFonts w:ascii="Century Gothic" w:hAnsi="Century Gothic"/>
          <w:color w:val="099146"/>
        </w:rPr>
        <w:t>onych procesów transakcyjnych</w:t>
      </w:r>
      <w:r>
        <w:rPr>
          <w:rFonts w:ascii="Century Gothic" w:hAnsi="Century Gothic"/>
          <w:color w:val="099146"/>
        </w:rPr>
        <w:t>,</w:t>
      </w:r>
      <w:r w:rsidRPr="00D16060">
        <w:rPr>
          <w:rFonts w:ascii="Century Gothic" w:hAnsi="Century Gothic"/>
          <w:color w:val="099146"/>
        </w:rPr>
        <w:t xml:space="preserve"> przez ca</w:t>
      </w:r>
      <w:r w:rsidRPr="00D16060">
        <w:rPr>
          <w:rFonts w:ascii="Lucida Grande" w:hAnsi="Lucida Grande" w:cs="Lucida Grande"/>
          <w:color w:val="099146"/>
        </w:rPr>
        <w:t>ł</w:t>
      </w:r>
      <w:r w:rsidRPr="00D16060">
        <w:rPr>
          <w:rFonts w:ascii="Century Gothic" w:hAnsi="Century Gothic"/>
          <w:color w:val="099146"/>
        </w:rPr>
        <w:t>y rok wspólnie z firm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doradcz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</w:t>
      </w:r>
      <w:proofErr w:type="spellStart"/>
      <w:r w:rsidRPr="00D16060">
        <w:rPr>
          <w:rFonts w:ascii="Century Gothic" w:hAnsi="Century Gothic"/>
          <w:color w:val="099146"/>
        </w:rPr>
        <w:t>Navigator</w:t>
      </w:r>
      <w:proofErr w:type="spellEnd"/>
      <w:r w:rsidRPr="00D16060">
        <w:rPr>
          <w:rFonts w:ascii="Century Gothic" w:hAnsi="Century Gothic"/>
          <w:color w:val="099146"/>
        </w:rPr>
        <w:t xml:space="preserve"> Capital obserwuj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rynek M&amp;A w Polsce, Europie i na </w:t>
      </w:r>
      <w:r w:rsidRPr="00D16060">
        <w:rPr>
          <w:rFonts w:ascii="Lucida Grande" w:hAnsi="Lucida Grande" w:cs="Lucida Grande"/>
          <w:color w:val="099146"/>
        </w:rPr>
        <w:t>ś</w:t>
      </w:r>
      <w:r w:rsidRPr="00D16060">
        <w:rPr>
          <w:rFonts w:ascii="Century Gothic" w:hAnsi="Century Gothic"/>
          <w:color w:val="099146"/>
        </w:rPr>
        <w:t>wiecie. Wnioski ze zgromadzonych danych dotycz</w:t>
      </w:r>
      <w:r w:rsidRPr="00D16060">
        <w:rPr>
          <w:rFonts w:ascii="Lucida Grande" w:hAnsi="Lucida Grande" w:cs="Lucida Grande"/>
          <w:color w:val="099146"/>
        </w:rPr>
        <w:t>ą</w:t>
      </w:r>
      <w:r>
        <w:rPr>
          <w:rFonts w:ascii="Century Gothic" w:hAnsi="Century Gothic"/>
          <w:color w:val="099146"/>
        </w:rPr>
        <w:t>ce</w:t>
      </w:r>
      <w:r w:rsidRPr="00D16060">
        <w:rPr>
          <w:rFonts w:ascii="Century Gothic" w:hAnsi="Century Gothic"/>
          <w:color w:val="099146"/>
        </w:rPr>
        <w:t xml:space="preserve"> polskiej sceny transakcyjnej publikuj</w:t>
      </w:r>
      <w:r w:rsidRPr="00D16060">
        <w:rPr>
          <w:rFonts w:ascii="Lucida Grande" w:hAnsi="Lucida Grande" w:cs="Lucida Grande"/>
          <w:color w:val="099146"/>
        </w:rPr>
        <w:t>ą</w:t>
      </w:r>
      <w:r w:rsidRPr="00D16060">
        <w:rPr>
          <w:rFonts w:ascii="Century Gothic" w:hAnsi="Century Gothic"/>
          <w:color w:val="099146"/>
        </w:rPr>
        <w:t xml:space="preserve"> w ramach </w:t>
      </w:r>
      <w:r w:rsidRPr="00D16060">
        <w:rPr>
          <w:rFonts w:ascii="Century Gothic" w:hAnsi="Century Gothic"/>
          <w:b/>
          <w:color w:val="099146"/>
        </w:rPr>
        <w:t>raportów M&amp;A Index Poland.</w:t>
      </w:r>
      <w:r w:rsidRPr="00D16060">
        <w:rPr>
          <w:rFonts w:ascii="Century Gothic" w:hAnsi="Century Gothic"/>
          <w:color w:val="099146"/>
        </w:rPr>
        <w:t xml:space="preserve"> </w:t>
      </w:r>
    </w:p>
    <w:p w:rsidR="004B627C" w:rsidRPr="00FA7084" w:rsidRDefault="004B627C" w:rsidP="004B627C">
      <w:pPr>
        <w:jc w:val="both"/>
        <w:rPr>
          <w:rFonts w:ascii="Century Gothic" w:hAnsi="Century Gothic"/>
          <w:color w:val="099146"/>
        </w:rPr>
      </w:pPr>
    </w:p>
    <w:p w:rsidR="004B627C" w:rsidRDefault="004B627C" w:rsidP="004B627C">
      <w:pPr>
        <w:spacing w:after="0" w:line="360" w:lineRule="auto"/>
        <w:jc w:val="both"/>
        <w:rPr>
          <w:rFonts w:ascii="Century Gothic" w:eastAsiaTheme="minorHAnsi" w:hAnsi="Century Gothic" w:cs="Lucida Grande"/>
          <w:sz w:val="20"/>
        </w:rPr>
      </w:pPr>
      <w:r w:rsidRPr="0093326D">
        <w:rPr>
          <w:rFonts w:ascii="Century Gothic" w:eastAsiaTheme="minorHAnsi" w:hAnsi="Century Gothic" w:cs="Lucida Grande"/>
          <w:sz w:val="20"/>
        </w:rPr>
        <w:t xml:space="preserve">Komentarz </w:t>
      </w:r>
      <w:r w:rsidRPr="0093326D">
        <w:rPr>
          <w:rFonts w:ascii="Century Gothic" w:eastAsiaTheme="minorHAnsi" w:hAnsi="Century Gothic" w:cs="Lucida Grande"/>
          <w:b/>
          <w:sz w:val="20"/>
        </w:rPr>
        <w:t xml:space="preserve">Marty Kotwis, </w:t>
      </w:r>
      <w:proofErr w:type="spellStart"/>
      <w:r w:rsidRPr="0093326D">
        <w:rPr>
          <w:rFonts w:ascii="Century Gothic" w:eastAsiaTheme="minorHAnsi" w:hAnsi="Century Gothic" w:cs="Lucida Grande"/>
          <w:b/>
          <w:sz w:val="20"/>
        </w:rPr>
        <w:t>Key</w:t>
      </w:r>
      <w:proofErr w:type="spellEnd"/>
      <w:r w:rsidRPr="0093326D">
        <w:rPr>
          <w:rFonts w:ascii="Century Gothic" w:eastAsiaTheme="minorHAnsi" w:hAnsi="Century Gothic" w:cs="Lucida Grande"/>
          <w:b/>
          <w:sz w:val="20"/>
        </w:rPr>
        <w:t xml:space="preserve"> </w:t>
      </w:r>
      <w:proofErr w:type="spellStart"/>
      <w:r w:rsidRPr="0093326D">
        <w:rPr>
          <w:rFonts w:ascii="Century Gothic" w:eastAsiaTheme="minorHAnsi" w:hAnsi="Century Gothic" w:cs="Lucida Grande"/>
          <w:b/>
          <w:sz w:val="20"/>
        </w:rPr>
        <w:t>Account</w:t>
      </w:r>
      <w:proofErr w:type="spellEnd"/>
      <w:r w:rsidRPr="0093326D">
        <w:rPr>
          <w:rFonts w:ascii="Century Gothic" w:eastAsiaTheme="minorHAnsi" w:hAnsi="Century Gothic" w:cs="Lucida Grande"/>
          <w:b/>
          <w:sz w:val="20"/>
        </w:rPr>
        <w:t xml:space="preserve"> </w:t>
      </w:r>
      <w:proofErr w:type="spellStart"/>
      <w:r w:rsidRPr="0093326D">
        <w:rPr>
          <w:rFonts w:ascii="Century Gothic" w:eastAsiaTheme="minorHAnsi" w:hAnsi="Century Gothic" w:cs="Lucida Grande"/>
          <w:b/>
          <w:sz w:val="20"/>
        </w:rPr>
        <w:t>Director</w:t>
      </w:r>
      <w:proofErr w:type="spellEnd"/>
      <w:r w:rsidRPr="0093326D">
        <w:rPr>
          <w:rFonts w:ascii="Century Gothic" w:eastAsiaTheme="minorHAnsi" w:hAnsi="Century Gothic" w:cs="Lucida Grande"/>
          <w:b/>
          <w:sz w:val="20"/>
        </w:rPr>
        <w:t xml:space="preserve"> z FORDATA</w:t>
      </w:r>
      <w:r>
        <w:rPr>
          <w:rFonts w:ascii="Century Gothic" w:eastAsiaTheme="minorHAnsi" w:hAnsi="Century Gothic" w:cs="Lucida Grande"/>
          <w:sz w:val="20"/>
        </w:rPr>
        <w:t>,</w:t>
      </w:r>
      <w:r w:rsidRPr="0093326D">
        <w:rPr>
          <w:rFonts w:ascii="Century Gothic" w:eastAsiaTheme="minorHAnsi" w:hAnsi="Century Gothic" w:cs="Lucida Grande"/>
          <w:sz w:val="20"/>
        </w:rPr>
        <w:t xml:space="preserve"> podsumowujący tr</w:t>
      </w:r>
      <w:r>
        <w:rPr>
          <w:rFonts w:ascii="Century Gothic" w:eastAsiaTheme="minorHAnsi" w:hAnsi="Century Gothic" w:cs="Lucida Grande"/>
          <w:sz w:val="20"/>
        </w:rPr>
        <w:t xml:space="preserve">ansakcje fuzji i przejęć w czwartym kwartale </w:t>
      </w:r>
      <w:r w:rsidRPr="0093326D">
        <w:rPr>
          <w:rFonts w:ascii="Century Gothic" w:eastAsiaTheme="minorHAnsi" w:hAnsi="Century Gothic" w:cs="Lucida Grande"/>
          <w:sz w:val="20"/>
        </w:rPr>
        <w:t>2015 roku.</w:t>
      </w:r>
    </w:p>
    <w:p w:rsidR="004B627C" w:rsidRPr="00FA7084" w:rsidRDefault="004B627C" w:rsidP="004B627C">
      <w:pPr>
        <w:spacing w:after="0" w:line="360" w:lineRule="auto"/>
        <w:jc w:val="both"/>
        <w:rPr>
          <w:rFonts w:ascii="Century Gothic" w:eastAsiaTheme="minorHAnsi" w:hAnsi="Century Gothic" w:cs="Lucida Grande"/>
          <w:sz w:val="20"/>
        </w:rPr>
      </w:pPr>
    </w:p>
    <w:p w:rsidR="004B627C" w:rsidRPr="00FF1AD9" w:rsidRDefault="004B627C" w:rsidP="004B627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>Rekordowa ilość transakcji w Polsce, ale wciąż duże rozdrobnienie</w:t>
      </w:r>
    </w:p>
    <w:p w:rsidR="004B627C" w:rsidRDefault="004B627C" w:rsidP="004B627C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Ostatni kwartał 2015 roku na rynku fuzji i przejęć w Polsce był równie intensywny, jak cały rok. 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W Q4 2015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odnotowano rekordową liczbę, bo aż 77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zamkniętych transakcji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. Z kwartału na kwartał obserwujemy kolejne wzrosty – w sumie w stosunku do 1Q 2015 odnotowaliśmy w Q4 wzrost liczby transakcji na poziomie prawie 55% (50 transakcji w Q1, 55 w Q2, 66 w Q3). </w:t>
      </w:r>
    </w:p>
    <w:p w:rsidR="004B627C" w:rsidRDefault="004B627C" w:rsidP="004B627C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W kontekście wartości transakcji, zgodnie z naszym przewidywaniem sprzed roku, wciąż obserwujemy duże rozdrobnienie – wśród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t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ransakcji z ujawnioną ceną cały czas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dominują t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e o wartości poniżej 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100 mln 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PLN, w 4Q 2015 odnotowano ich aż 22. N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ajwięcej przejmowanych spółek związanych było z branżą usługową.</w:t>
      </w:r>
    </w:p>
    <w:p w:rsidR="004B627C" w:rsidRDefault="004B627C" w:rsidP="004B627C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 w:rsidRPr="001543CD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Największą transakcją było przejęcie LW Bogdanka przez Grupę Energetyc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zną Enea za blisko 1,5 mld PLN, 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a na uwagę zasługuje 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także 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przejęcie poznańskiego Centrum Handlu, Sztuki i Biznesu Stary Browar – części mienia spółki Fortis - przez spółkę RREEF Investm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ent GmbH za kwotę 290 mln euro.</w:t>
      </w:r>
    </w:p>
    <w:p w:rsidR="004B627C" w:rsidRDefault="004B627C" w:rsidP="004B627C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W związku z możliwością uzyskania w Polsce wyższych stóp zwrotu niż w Europie Zachodniej, w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ciąż widoczne jest 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duże 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zaan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g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ażowanie f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unduszy, szczególnie po stronie kupujących (aż 25% wszystkich transakcji). </w:t>
      </w:r>
      <w:r w:rsidRPr="00CC1C06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Przewidujemy, że ten trend się utrzyma.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 Po stronie sprzedającego dominują osoby indywidualne, co potwierdza obserwowane w Polsce od początku roku zjawisko sukcesji.</w:t>
      </w:r>
    </w:p>
    <w:p w:rsidR="004B627C" w:rsidRDefault="004B627C" w:rsidP="004B627C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</w:p>
    <w:p w:rsidR="004B627C" w:rsidRPr="00FF1AD9" w:rsidRDefault="004B627C" w:rsidP="004B627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1AD9"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lastRenderedPageBreak/>
        <w:t>Bezpieczeństwo transakcji kluczowe</w:t>
      </w:r>
    </w:p>
    <w:p w:rsidR="004B627C" w:rsidRDefault="004B627C" w:rsidP="004B627C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Ostatni kwartał 2015 roku pokazuje, że polska branża transakcyjna wciąż się profesjonalizuje. Coraz więcej firm kładzie nacisk na bezpieczeń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stwo udostępnianych w toku transakcji informacji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. Powszechniejsze staje się użycie systemu Virtual Data Room, który w branży transakcyjnej stał się najbardziej kompleksowym rozwiązaniem chroniący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m poufne dane. Z dostępnych 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danych wynika, że w 4Q 2015 r. blisko 20% transakcji (15 spośród 77) zostało przeprowadzonych z wykorzystaniem VDR. Uważamy, że było ich zdecydowanie więcej, ale 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informacje te nie były</w:t>
      </w:r>
      <w:r w:rsidRPr="00FF1AD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jawne.</w:t>
      </w:r>
    </w:p>
    <w:p w:rsidR="004B627C" w:rsidRPr="000C3331" w:rsidRDefault="004B627C" w:rsidP="004B627C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  <w:r w:rsidRPr="000C3331"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>Na scenie globaln</w:t>
      </w:r>
      <w:r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>ej rekordy wartości transakcji</w:t>
      </w:r>
    </w:p>
    <w:p w:rsidR="004B627C" w:rsidRPr="00222865" w:rsidRDefault="004B627C" w:rsidP="004B627C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Na scenie globalnej cały czas odnotowujemy rekordy jeśli chodzi o wartości transakcji. W czwartym kwartale miała miejsce największa transakcja tego roku</w:t>
      </w:r>
      <w:r w:rsidRPr="00222865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, którą była fuzja firm farmaceutycznych Pfizer i Allergan warta 183,7 mld USD. Generalnie rok 2015 ocenia się globalnie jako rekordowy, z wynikiem na poziomie 3,49 bln USD (wzrost na poziomie prawie 25% w stosunku do roku 2014).</w:t>
      </w:r>
    </w:p>
    <w:p w:rsidR="004B627C" w:rsidRDefault="004B627C" w:rsidP="004B627C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4B627C" w:rsidRDefault="004B627C" w:rsidP="004B627C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cs-CZ"/>
        </w:rPr>
      </w:pPr>
    </w:p>
    <w:p w:rsidR="004B627C" w:rsidRPr="0092279F" w:rsidRDefault="004B627C" w:rsidP="004B627C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6"/>
          <w:szCs w:val="18"/>
          <w:lang w:val="cs-CZ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Pr="00162412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162412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FORDATA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>jest pionierem na polskim rynku kapitałowym. W oparciu o autorskie systemy informatyczne, bazujące na technologii Virtual Data Room usprawniamy zarządzanie dokumentami i komunikacją podczas złożonych procesów transakcyjnych. Wspieramy największe transakcje M&amp;A, IPO, inwestycje Private Equity, restrukturyzacje, projekty związane z pozyskiwaniem ﬁnansowania oraz prywatyzacje w Polsce oraz w i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nnych krajach Europy Środkowej i Wschodniej.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>Nasze systemy podniosły bezpieczeństwo i efektywność kilkuset transakcji różnego typu, o łącznej wartości ponad 3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2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mld PLN. Z usług FORDATA korzystają liderzy branż w Polsce i za granicą: fundusz Private Equity Enterprise </w:t>
      </w:r>
      <w:proofErr w:type="spellStart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>Investors</w:t>
      </w:r>
      <w:proofErr w:type="spellEnd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Enea SA, Home.pl, Grupa LOTOS, PZU SA, Grant Thornton, 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NFI Empik, ZELMER, Bank DNB, BOŚ Bank, Polimex Mostostal, Budimex, DM PKO Banku Polskiego, Deloitte </w:t>
      </w:r>
      <w:proofErr w:type="spellStart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>Advisory</w:t>
      </w:r>
      <w:proofErr w:type="spellEnd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EY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KPMG </w:t>
      </w:r>
      <w:proofErr w:type="spellStart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>Advisory</w:t>
      </w:r>
      <w:proofErr w:type="spellEnd"/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JSW, </w:t>
      </w:r>
      <w:r>
        <w:rPr>
          <w:rFonts w:ascii="Century Gothic" w:eastAsia="Arial Unicode MS" w:hAnsi="Century Gothic" w:cs="Arial Unicode MS"/>
          <w:color w:val="24323C"/>
          <w:sz w:val="18"/>
          <w:szCs w:val="24"/>
        </w:rPr>
        <w:t>HAITONG</w:t>
      </w:r>
      <w:r w:rsidRPr="00162412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oraz wiele innych.</w:t>
      </w:r>
    </w:p>
    <w:p w:rsidR="004B627C" w:rsidRPr="00162412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</w:p>
    <w:p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</w:p>
    <w:p w:rsidR="004B627C" w:rsidRPr="00162412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  <w:r w:rsidRPr="00162412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Kontakt dla mediów:</w:t>
      </w:r>
    </w:p>
    <w:p w:rsidR="004B627C" w:rsidRPr="00EF2C2E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EF2C2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Aleksandra Prusator, e-mail: aleksandra.prusator@fordata.pl, </w:t>
      </w:r>
      <w:proofErr w:type="spellStart"/>
      <w:r w:rsidRPr="00EF2C2E">
        <w:rPr>
          <w:rFonts w:ascii="Century Gothic" w:eastAsia="Arial Unicode MS" w:hAnsi="Century Gothic" w:cs="Arial Unicode MS"/>
          <w:color w:val="24323C"/>
          <w:sz w:val="18"/>
          <w:szCs w:val="24"/>
        </w:rPr>
        <w:t>tel</w:t>
      </w:r>
      <w:proofErr w:type="spellEnd"/>
      <w:r w:rsidRPr="00EF2C2E">
        <w:rPr>
          <w:rFonts w:ascii="Century Gothic" w:eastAsia="Arial Unicode MS" w:hAnsi="Century Gothic" w:cs="Arial Unicode MS"/>
          <w:color w:val="24323C"/>
          <w:sz w:val="18"/>
          <w:szCs w:val="24"/>
        </w:rPr>
        <w:t>: 506 044 056</w:t>
      </w:r>
    </w:p>
    <w:p w:rsidR="004B627C" w:rsidRPr="0092279F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</w:pPr>
      <w:r w:rsidRPr="0092279F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 xml:space="preserve">Beata </w:t>
      </w:r>
      <w:proofErr w:type="spellStart"/>
      <w:r w:rsidRPr="0092279F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Milewicz</w:t>
      </w:r>
      <w:proofErr w:type="spellEnd"/>
      <w:r w:rsidRPr="0092279F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, e-mail: beata.milewicz@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letson</w:t>
      </w:r>
      <w:r w:rsidRPr="0092279F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.pl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,</w:t>
      </w:r>
      <w:r w:rsidRPr="0092279F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 xml:space="preserve"> </w:t>
      </w:r>
      <w:proofErr w:type="spellStart"/>
      <w:r w:rsidRPr="0092279F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tel</w:t>
      </w:r>
      <w:proofErr w:type="spellEnd"/>
      <w:r w:rsidRPr="0092279F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: 508 051</w:t>
      </w:r>
      <w:r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 </w:t>
      </w:r>
      <w:r w:rsidRPr="0092279F">
        <w:rPr>
          <w:rFonts w:ascii="Century Gothic" w:eastAsia="Arial Unicode MS" w:hAnsi="Century Gothic" w:cs="Arial Unicode MS"/>
          <w:color w:val="24323C"/>
          <w:sz w:val="18"/>
          <w:szCs w:val="24"/>
          <w:lang w:val="en-US"/>
        </w:rPr>
        <w:t>138</w:t>
      </w:r>
    </w:p>
    <w:p w:rsidR="00D24FB5" w:rsidRPr="00D24FB5" w:rsidRDefault="00D24FB5" w:rsidP="00D24FB5">
      <w:pPr>
        <w:spacing w:after="0"/>
        <w:jc w:val="both"/>
        <w:rPr>
          <w:rFonts w:ascii="Century Gothic" w:eastAsia="Arial Unicode MS" w:hAnsi="Century Gothic" w:cs="Arial Unicode MS"/>
          <w:sz w:val="18"/>
          <w:szCs w:val="20"/>
          <w:lang w:val="en-US"/>
        </w:rPr>
      </w:pPr>
    </w:p>
    <w:sectPr w:rsidR="00D24FB5" w:rsidRPr="00D24FB5" w:rsidSect="00B420E4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96" w:rsidRDefault="00176196" w:rsidP="00F55936">
      <w:pPr>
        <w:spacing w:after="0" w:line="240" w:lineRule="auto"/>
      </w:pPr>
      <w:r>
        <w:separator/>
      </w:r>
    </w:p>
  </w:endnote>
  <w:endnote w:type="continuationSeparator" w:id="0">
    <w:p w:rsidR="00176196" w:rsidRDefault="00176196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57154063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053921950"/>
          <w:docPartObj>
            <w:docPartGallery w:val="Page Numbers (Top of Page)"/>
            <w:docPartUnique/>
          </w:docPartObj>
        </w:sdtPr>
        <w:sdtEndPr/>
        <w:sdtContent>
          <w:p w:rsidR="00051B2C" w:rsidRPr="00051B2C" w:rsidRDefault="00051B2C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51B2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051B2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984CB9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317F0" w:rsidRDefault="000317F0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96" w:rsidRDefault="00176196" w:rsidP="00F55936">
      <w:pPr>
        <w:spacing w:after="0" w:line="240" w:lineRule="auto"/>
      </w:pPr>
      <w:r>
        <w:separator/>
      </w:r>
    </w:p>
  </w:footnote>
  <w:footnote w:type="continuationSeparator" w:id="0">
    <w:p w:rsidR="00176196" w:rsidRDefault="00176196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11" w:rsidRDefault="001761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1" o:spid="_x0000_s2053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E" w:rsidRDefault="00176196" w:rsidP="00067C11">
    <w:pPr>
      <w:pStyle w:val="Nagwek"/>
      <w:tabs>
        <w:tab w:val="left" w:pos="1620"/>
      </w:tabs>
      <w:rPr>
        <w:sz w:val="24"/>
      </w:rPr>
    </w:pPr>
    <w:r>
      <w:rPr>
        <w:noProof/>
        <w:sz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2" o:spid="_x0000_s2054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  <w:r w:rsidR="00067C11">
      <w:rPr>
        <w:sz w:val="24"/>
      </w:rPr>
      <w:tab/>
    </w:r>
    <w:r w:rsidR="00067C11">
      <w:rPr>
        <w:sz w:val="24"/>
      </w:rPr>
      <w:tab/>
    </w:r>
    <w:r w:rsidR="00067C11">
      <w:rPr>
        <w:sz w:val="24"/>
      </w:rPr>
      <w:tab/>
    </w:r>
  </w:p>
  <w:p w:rsidR="0049735E" w:rsidRDefault="0049735E" w:rsidP="0049735E">
    <w:pPr>
      <w:pStyle w:val="Nagwek"/>
      <w:jc w:val="right"/>
      <w:rPr>
        <w:sz w:val="24"/>
      </w:rPr>
    </w:pPr>
  </w:p>
  <w:p w:rsidR="00BF43C7" w:rsidRDefault="00BF43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36" w:rsidRDefault="00176196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0" o:spid="_x0000_s2052" type="#_x0000_t75" style="position:absolute;left:0;text-align:left;margin-left:0;margin-top:0;width:604.5pt;height:855.05pt;z-index:-251658240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43E7E"/>
    <w:multiLevelType w:val="hybridMultilevel"/>
    <w:tmpl w:val="A4549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36398"/>
    <w:multiLevelType w:val="hybridMultilevel"/>
    <w:tmpl w:val="D60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A6B20"/>
    <w:multiLevelType w:val="hybridMultilevel"/>
    <w:tmpl w:val="0E4006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E"/>
    <w:rsid w:val="000001A2"/>
    <w:rsid w:val="00000E06"/>
    <w:rsid w:val="00000F86"/>
    <w:rsid w:val="00001108"/>
    <w:rsid w:val="00002568"/>
    <w:rsid w:val="000028D5"/>
    <w:rsid w:val="00002B21"/>
    <w:rsid w:val="00003AE9"/>
    <w:rsid w:val="00003D66"/>
    <w:rsid w:val="00003EFB"/>
    <w:rsid w:val="00004AAB"/>
    <w:rsid w:val="00005B08"/>
    <w:rsid w:val="00007FDC"/>
    <w:rsid w:val="000103B3"/>
    <w:rsid w:val="00010D35"/>
    <w:rsid w:val="00010FF4"/>
    <w:rsid w:val="00011BB9"/>
    <w:rsid w:val="000127AA"/>
    <w:rsid w:val="000136C9"/>
    <w:rsid w:val="00013C09"/>
    <w:rsid w:val="000144C1"/>
    <w:rsid w:val="00014D06"/>
    <w:rsid w:val="0001724E"/>
    <w:rsid w:val="00017BD9"/>
    <w:rsid w:val="00017C9E"/>
    <w:rsid w:val="000201FF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B2C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587"/>
    <w:rsid w:val="000645B2"/>
    <w:rsid w:val="00065390"/>
    <w:rsid w:val="00065BE5"/>
    <w:rsid w:val="000660C2"/>
    <w:rsid w:val="0006764F"/>
    <w:rsid w:val="00067C11"/>
    <w:rsid w:val="00067D26"/>
    <w:rsid w:val="00067F27"/>
    <w:rsid w:val="00067F4E"/>
    <w:rsid w:val="00070532"/>
    <w:rsid w:val="00071966"/>
    <w:rsid w:val="00072809"/>
    <w:rsid w:val="0007294A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B96"/>
    <w:rsid w:val="000A3514"/>
    <w:rsid w:val="000A35A0"/>
    <w:rsid w:val="000A36A9"/>
    <w:rsid w:val="000A391D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B99"/>
    <w:rsid w:val="000F2FA5"/>
    <w:rsid w:val="000F33EB"/>
    <w:rsid w:val="000F373E"/>
    <w:rsid w:val="000F376D"/>
    <w:rsid w:val="000F38A7"/>
    <w:rsid w:val="000F44F7"/>
    <w:rsid w:val="000F51E4"/>
    <w:rsid w:val="000F63B7"/>
    <w:rsid w:val="000F65F1"/>
    <w:rsid w:val="000F6DE3"/>
    <w:rsid w:val="000F762B"/>
    <w:rsid w:val="000F7D49"/>
    <w:rsid w:val="00100227"/>
    <w:rsid w:val="001045B1"/>
    <w:rsid w:val="00104E4E"/>
    <w:rsid w:val="00105C29"/>
    <w:rsid w:val="00105D33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3BF"/>
    <w:rsid w:val="0011340A"/>
    <w:rsid w:val="00113D1E"/>
    <w:rsid w:val="0011448E"/>
    <w:rsid w:val="001144B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40B48"/>
    <w:rsid w:val="00141754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44C"/>
    <w:rsid w:val="00173A45"/>
    <w:rsid w:val="00173ACB"/>
    <w:rsid w:val="00173B93"/>
    <w:rsid w:val="00174414"/>
    <w:rsid w:val="00175859"/>
    <w:rsid w:val="00175AD7"/>
    <w:rsid w:val="00175B9B"/>
    <w:rsid w:val="00176196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FDB"/>
    <w:rsid w:val="001A219F"/>
    <w:rsid w:val="001A2531"/>
    <w:rsid w:val="001A3786"/>
    <w:rsid w:val="001A4133"/>
    <w:rsid w:val="001A4181"/>
    <w:rsid w:val="001A41BC"/>
    <w:rsid w:val="001A42ED"/>
    <w:rsid w:val="001A5D2E"/>
    <w:rsid w:val="001A66D8"/>
    <w:rsid w:val="001A6A58"/>
    <w:rsid w:val="001A78B7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3680"/>
    <w:rsid w:val="001C3B18"/>
    <w:rsid w:val="001C3EC9"/>
    <w:rsid w:val="001C4187"/>
    <w:rsid w:val="001C4860"/>
    <w:rsid w:val="001C4D80"/>
    <w:rsid w:val="001C4FCF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98B"/>
    <w:rsid w:val="001D4C7D"/>
    <w:rsid w:val="001D4D40"/>
    <w:rsid w:val="001D5276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CB6"/>
    <w:rsid w:val="00217E41"/>
    <w:rsid w:val="00217E8E"/>
    <w:rsid w:val="00220AB5"/>
    <w:rsid w:val="00220D71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6BDA"/>
    <w:rsid w:val="0025760C"/>
    <w:rsid w:val="002576E7"/>
    <w:rsid w:val="002603E0"/>
    <w:rsid w:val="00260456"/>
    <w:rsid w:val="00260616"/>
    <w:rsid w:val="002617EF"/>
    <w:rsid w:val="00261D5E"/>
    <w:rsid w:val="00262B7B"/>
    <w:rsid w:val="00262EDD"/>
    <w:rsid w:val="00262F12"/>
    <w:rsid w:val="002637FE"/>
    <w:rsid w:val="00263E81"/>
    <w:rsid w:val="00264881"/>
    <w:rsid w:val="00264CC0"/>
    <w:rsid w:val="00265010"/>
    <w:rsid w:val="002665FB"/>
    <w:rsid w:val="0026725D"/>
    <w:rsid w:val="00267356"/>
    <w:rsid w:val="00267835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1691"/>
    <w:rsid w:val="002A1886"/>
    <w:rsid w:val="002A1C6C"/>
    <w:rsid w:val="002A4874"/>
    <w:rsid w:val="002A54A9"/>
    <w:rsid w:val="002A598A"/>
    <w:rsid w:val="002A59F1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36D1"/>
    <w:rsid w:val="003038A5"/>
    <w:rsid w:val="00303C01"/>
    <w:rsid w:val="003040ED"/>
    <w:rsid w:val="00304D24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B5A"/>
    <w:rsid w:val="00312F3F"/>
    <w:rsid w:val="00313960"/>
    <w:rsid w:val="00313CD9"/>
    <w:rsid w:val="00313FFC"/>
    <w:rsid w:val="003142A0"/>
    <w:rsid w:val="00314CFB"/>
    <w:rsid w:val="00315211"/>
    <w:rsid w:val="00315C9F"/>
    <w:rsid w:val="00315FB6"/>
    <w:rsid w:val="00317203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94C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678D"/>
    <w:rsid w:val="0034690D"/>
    <w:rsid w:val="00347760"/>
    <w:rsid w:val="0035005F"/>
    <w:rsid w:val="0035036D"/>
    <w:rsid w:val="00350530"/>
    <w:rsid w:val="0035058C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31CA"/>
    <w:rsid w:val="003731E7"/>
    <w:rsid w:val="003731EE"/>
    <w:rsid w:val="00373237"/>
    <w:rsid w:val="00374E9D"/>
    <w:rsid w:val="0037512C"/>
    <w:rsid w:val="003753C4"/>
    <w:rsid w:val="0037540B"/>
    <w:rsid w:val="0037570E"/>
    <w:rsid w:val="003759B6"/>
    <w:rsid w:val="00375A4B"/>
    <w:rsid w:val="00375F9E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E1B"/>
    <w:rsid w:val="003B377F"/>
    <w:rsid w:val="003B4952"/>
    <w:rsid w:val="003B4C80"/>
    <w:rsid w:val="003B694B"/>
    <w:rsid w:val="003B72ED"/>
    <w:rsid w:val="003B75A8"/>
    <w:rsid w:val="003B7B44"/>
    <w:rsid w:val="003B7C79"/>
    <w:rsid w:val="003C0041"/>
    <w:rsid w:val="003C06AF"/>
    <w:rsid w:val="003C08E7"/>
    <w:rsid w:val="003C1D76"/>
    <w:rsid w:val="003C1DD0"/>
    <w:rsid w:val="003C2781"/>
    <w:rsid w:val="003C2981"/>
    <w:rsid w:val="003C3805"/>
    <w:rsid w:val="003C493B"/>
    <w:rsid w:val="003C4DD8"/>
    <w:rsid w:val="003C4F58"/>
    <w:rsid w:val="003C602E"/>
    <w:rsid w:val="003C6873"/>
    <w:rsid w:val="003C6ABD"/>
    <w:rsid w:val="003D06F9"/>
    <w:rsid w:val="003D1607"/>
    <w:rsid w:val="003D2F31"/>
    <w:rsid w:val="003D31E5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A4B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5934"/>
    <w:rsid w:val="0042596C"/>
    <w:rsid w:val="00427746"/>
    <w:rsid w:val="00427DA9"/>
    <w:rsid w:val="00427E93"/>
    <w:rsid w:val="00427EC3"/>
    <w:rsid w:val="0043005A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62AC"/>
    <w:rsid w:val="0044635B"/>
    <w:rsid w:val="00446794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580D"/>
    <w:rsid w:val="00465D5B"/>
    <w:rsid w:val="00465E9F"/>
    <w:rsid w:val="0046602C"/>
    <w:rsid w:val="00467002"/>
    <w:rsid w:val="00470929"/>
    <w:rsid w:val="00470999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4D16"/>
    <w:rsid w:val="004B627C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253A"/>
    <w:rsid w:val="004C3EE9"/>
    <w:rsid w:val="004C431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101D7"/>
    <w:rsid w:val="005102DA"/>
    <w:rsid w:val="00510D93"/>
    <w:rsid w:val="00511111"/>
    <w:rsid w:val="005112E1"/>
    <w:rsid w:val="0051139F"/>
    <w:rsid w:val="0051170B"/>
    <w:rsid w:val="00511EB0"/>
    <w:rsid w:val="0051268D"/>
    <w:rsid w:val="00512A23"/>
    <w:rsid w:val="00512E66"/>
    <w:rsid w:val="00512EA8"/>
    <w:rsid w:val="00514016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312F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DE2"/>
    <w:rsid w:val="0053026E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50748"/>
    <w:rsid w:val="0055094A"/>
    <w:rsid w:val="00551D20"/>
    <w:rsid w:val="00552A0A"/>
    <w:rsid w:val="00552A65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E38"/>
    <w:rsid w:val="0056596F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A75"/>
    <w:rsid w:val="00593ACA"/>
    <w:rsid w:val="00593E10"/>
    <w:rsid w:val="00594C9C"/>
    <w:rsid w:val="0059519D"/>
    <w:rsid w:val="005953F3"/>
    <w:rsid w:val="005954F5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A6B"/>
    <w:rsid w:val="005C1E15"/>
    <w:rsid w:val="005C2D61"/>
    <w:rsid w:val="005C5750"/>
    <w:rsid w:val="005C5BA2"/>
    <w:rsid w:val="005C5C81"/>
    <w:rsid w:val="005C6D7C"/>
    <w:rsid w:val="005C7B12"/>
    <w:rsid w:val="005D0389"/>
    <w:rsid w:val="005D0998"/>
    <w:rsid w:val="005D12D9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56C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B46"/>
    <w:rsid w:val="00613BED"/>
    <w:rsid w:val="00614242"/>
    <w:rsid w:val="006146FB"/>
    <w:rsid w:val="00614B24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55B5"/>
    <w:rsid w:val="00655AC6"/>
    <w:rsid w:val="0065601C"/>
    <w:rsid w:val="00656172"/>
    <w:rsid w:val="00656606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61E8"/>
    <w:rsid w:val="006765F8"/>
    <w:rsid w:val="00676999"/>
    <w:rsid w:val="006776A1"/>
    <w:rsid w:val="006801FA"/>
    <w:rsid w:val="0068179D"/>
    <w:rsid w:val="00681E3B"/>
    <w:rsid w:val="006822CF"/>
    <w:rsid w:val="00682CF5"/>
    <w:rsid w:val="0068348A"/>
    <w:rsid w:val="00683646"/>
    <w:rsid w:val="0068410D"/>
    <w:rsid w:val="00684597"/>
    <w:rsid w:val="00684A5B"/>
    <w:rsid w:val="00685445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5B8"/>
    <w:rsid w:val="006A2866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3C04"/>
    <w:rsid w:val="00714B83"/>
    <w:rsid w:val="00714FE3"/>
    <w:rsid w:val="0071508E"/>
    <w:rsid w:val="00715CCD"/>
    <w:rsid w:val="00715FFC"/>
    <w:rsid w:val="00717AAF"/>
    <w:rsid w:val="00720AEE"/>
    <w:rsid w:val="00720CE5"/>
    <w:rsid w:val="007211E9"/>
    <w:rsid w:val="007215E2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B19"/>
    <w:rsid w:val="00724CDD"/>
    <w:rsid w:val="0072520A"/>
    <w:rsid w:val="00725918"/>
    <w:rsid w:val="007259B9"/>
    <w:rsid w:val="00725B78"/>
    <w:rsid w:val="00726477"/>
    <w:rsid w:val="00727079"/>
    <w:rsid w:val="007306AF"/>
    <w:rsid w:val="00731F03"/>
    <w:rsid w:val="00732443"/>
    <w:rsid w:val="007328A5"/>
    <w:rsid w:val="00732A98"/>
    <w:rsid w:val="007337EA"/>
    <w:rsid w:val="0073397A"/>
    <w:rsid w:val="00733A1E"/>
    <w:rsid w:val="00733E85"/>
    <w:rsid w:val="00735839"/>
    <w:rsid w:val="00735868"/>
    <w:rsid w:val="00735C05"/>
    <w:rsid w:val="007361D1"/>
    <w:rsid w:val="007371D4"/>
    <w:rsid w:val="007375DE"/>
    <w:rsid w:val="007378F1"/>
    <w:rsid w:val="0074032C"/>
    <w:rsid w:val="00740C4F"/>
    <w:rsid w:val="00740DCB"/>
    <w:rsid w:val="007419C8"/>
    <w:rsid w:val="00741D82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50545"/>
    <w:rsid w:val="007510CC"/>
    <w:rsid w:val="00751CB4"/>
    <w:rsid w:val="0075200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A19"/>
    <w:rsid w:val="00777B99"/>
    <w:rsid w:val="00781369"/>
    <w:rsid w:val="00781767"/>
    <w:rsid w:val="0078200B"/>
    <w:rsid w:val="00782131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C40"/>
    <w:rsid w:val="007A2965"/>
    <w:rsid w:val="007A2BFD"/>
    <w:rsid w:val="007A4368"/>
    <w:rsid w:val="007A4517"/>
    <w:rsid w:val="007A454C"/>
    <w:rsid w:val="007A4CE4"/>
    <w:rsid w:val="007A4EAC"/>
    <w:rsid w:val="007A5136"/>
    <w:rsid w:val="007A5C2C"/>
    <w:rsid w:val="007B0069"/>
    <w:rsid w:val="007B07AA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A79"/>
    <w:rsid w:val="007C135A"/>
    <w:rsid w:val="007C1526"/>
    <w:rsid w:val="007C2700"/>
    <w:rsid w:val="007C2C45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9A5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C63"/>
    <w:rsid w:val="007E6CB5"/>
    <w:rsid w:val="007E73DC"/>
    <w:rsid w:val="007E77E9"/>
    <w:rsid w:val="007E7C6B"/>
    <w:rsid w:val="007F044D"/>
    <w:rsid w:val="007F09A3"/>
    <w:rsid w:val="007F0C07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E1A"/>
    <w:rsid w:val="008047C9"/>
    <w:rsid w:val="008049A2"/>
    <w:rsid w:val="008050C3"/>
    <w:rsid w:val="008065D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3511"/>
    <w:rsid w:val="008442A1"/>
    <w:rsid w:val="008443B2"/>
    <w:rsid w:val="00844FFD"/>
    <w:rsid w:val="008452F2"/>
    <w:rsid w:val="008456BF"/>
    <w:rsid w:val="008456E3"/>
    <w:rsid w:val="00845968"/>
    <w:rsid w:val="00845A27"/>
    <w:rsid w:val="00845B10"/>
    <w:rsid w:val="00845EC8"/>
    <w:rsid w:val="00846718"/>
    <w:rsid w:val="008467D7"/>
    <w:rsid w:val="00846F95"/>
    <w:rsid w:val="0084753A"/>
    <w:rsid w:val="008476B5"/>
    <w:rsid w:val="00847768"/>
    <w:rsid w:val="00847B42"/>
    <w:rsid w:val="00850388"/>
    <w:rsid w:val="00850670"/>
    <w:rsid w:val="00850F52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D5"/>
    <w:rsid w:val="00871EBF"/>
    <w:rsid w:val="00871F8F"/>
    <w:rsid w:val="00872F77"/>
    <w:rsid w:val="00873B0B"/>
    <w:rsid w:val="00874330"/>
    <w:rsid w:val="00875510"/>
    <w:rsid w:val="0087586F"/>
    <w:rsid w:val="00876FA8"/>
    <w:rsid w:val="00877638"/>
    <w:rsid w:val="008777C2"/>
    <w:rsid w:val="008806E9"/>
    <w:rsid w:val="008820CC"/>
    <w:rsid w:val="00882F85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890"/>
    <w:rsid w:val="008A644F"/>
    <w:rsid w:val="008A6B42"/>
    <w:rsid w:val="008A7051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3839"/>
    <w:rsid w:val="008C3940"/>
    <w:rsid w:val="008C3CB8"/>
    <w:rsid w:val="008C4049"/>
    <w:rsid w:val="008C4783"/>
    <w:rsid w:val="008C4D15"/>
    <w:rsid w:val="008C5902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2EED"/>
    <w:rsid w:val="00943194"/>
    <w:rsid w:val="00943628"/>
    <w:rsid w:val="009437BB"/>
    <w:rsid w:val="00943C7F"/>
    <w:rsid w:val="0094408D"/>
    <w:rsid w:val="009442EF"/>
    <w:rsid w:val="00944C3F"/>
    <w:rsid w:val="00946085"/>
    <w:rsid w:val="00946C7F"/>
    <w:rsid w:val="00947026"/>
    <w:rsid w:val="00951C29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6D70"/>
    <w:rsid w:val="009676A2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4CE"/>
    <w:rsid w:val="00974986"/>
    <w:rsid w:val="0097560C"/>
    <w:rsid w:val="00975D2A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67B"/>
    <w:rsid w:val="00983C54"/>
    <w:rsid w:val="00983D57"/>
    <w:rsid w:val="00984023"/>
    <w:rsid w:val="009843A4"/>
    <w:rsid w:val="009846A8"/>
    <w:rsid w:val="00984CB9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F91"/>
    <w:rsid w:val="009F767C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42A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3C70"/>
    <w:rsid w:val="00A14040"/>
    <w:rsid w:val="00A14090"/>
    <w:rsid w:val="00A16269"/>
    <w:rsid w:val="00A1634B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A9A"/>
    <w:rsid w:val="00A307F0"/>
    <w:rsid w:val="00A3087B"/>
    <w:rsid w:val="00A30A5E"/>
    <w:rsid w:val="00A31907"/>
    <w:rsid w:val="00A31DE3"/>
    <w:rsid w:val="00A32DB1"/>
    <w:rsid w:val="00A33845"/>
    <w:rsid w:val="00A33DA1"/>
    <w:rsid w:val="00A33F2E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A55"/>
    <w:rsid w:val="00A56F30"/>
    <w:rsid w:val="00A57175"/>
    <w:rsid w:val="00A57616"/>
    <w:rsid w:val="00A5764B"/>
    <w:rsid w:val="00A579B6"/>
    <w:rsid w:val="00A60647"/>
    <w:rsid w:val="00A61718"/>
    <w:rsid w:val="00A62144"/>
    <w:rsid w:val="00A62C15"/>
    <w:rsid w:val="00A63910"/>
    <w:rsid w:val="00A63A12"/>
    <w:rsid w:val="00A6435A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63BD"/>
    <w:rsid w:val="00A8761B"/>
    <w:rsid w:val="00A90033"/>
    <w:rsid w:val="00A90951"/>
    <w:rsid w:val="00A9195F"/>
    <w:rsid w:val="00A9217C"/>
    <w:rsid w:val="00A931D9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EAB"/>
    <w:rsid w:val="00AA15E0"/>
    <w:rsid w:val="00AA2BB8"/>
    <w:rsid w:val="00AA30CD"/>
    <w:rsid w:val="00AA34F0"/>
    <w:rsid w:val="00AA3C10"/>
    <w:rsid w:val="00AA4AB7"/>
    <w:rsid w:val="00AA5FBB"/>
    <w:rsid w:val="00AA6651"/>
    <w:rsid w:val="00AA7BA3"/>
    <w:rsid w:val="00AA7F18"/>
    <w:rsid w:val="00AB0615"/>
    <w:rsid w:val="00AB0C97"/>
    <w:rsid w:val="00AB183C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E5A"/>
    <w:rsid w:val="00AC14F4"/>
    <w:rsid w:val="00AC1A8F"/>
    <w:rsid w:val="00AC2AAE"/>
    <w:rsid w:val="00AC354D"/>
    <w:rsid w:val="00AC3957"/>
    <w:rsid w:val="00AC40F8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2150"/>
    <w:rsid w:val="00AD3684"/>
    <w:rsid w:val="00AD3A04"/>
    <w:rsid w:val="00AD3FE4"/>
    <w:rsid w:val="00AD40AC"/>
    <w:rsid w:val="00AD4774"/>
    <w:rsid w:val="00AD56C4"/>
    <w:rsid w:val="00AD6163"/>
    <w:rsid w:val="00AD6885"/>
    <w:rsid w:val="00AD6EB9"/>
    <w:rsid w:val="00AD7A83"/>
    <w:rsid w:val="00AE03FA"/>
    <w:rsid w:val="00AE05A3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218E"/>
    <w:rsid w:val="00B02D2A"/>
    <w:rsid w:val="00B02FF1"/>
    <w:rsid w:val="00B03528"/>
    <w:rsid w:val="00B0396D"/>
    <w:rsid w:val="00B0428E"/>
    <w:rsid w:val="00B04A20"/>
    <w:rsid w:val="00B04CA8"/>
    <w:rsid w:val="00B051AB"/>
    <w:rsid w:val="00B0542B"/>
    <w:rsid w:val="00B05ACE"/>
    <w:rsid w:val="00B06602"/>
    <w:rsid w:val="00B0663F"/>
    <w:rsid w:val="00B06913"/>
    <w:rsid w:val="00B073D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7486"/>
    <w:rsid w:val="00B3760D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0E4"/>
    <w:rsid w:val="00B422A9"/>
    <w:rsid w:val="00B426CD"/>
    <w:rsid w:val="00B42920"/>
    <w:rsid w:val="00B4301E"/>
    <w:rsid w:val="00B44E0F"/>
    <w:rsid w:val="00B44F49"/>
    <w:rsid w:val="00B450F2"/>
    <w:rsid w:val="00B45369"/>
    <w:rsid w:val="00B457E3"/>
    <w:rsid w:val="00B458A2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543"/>
    <w:rsid w:val="00BA3A3A"/>
    <w:rsid w:val="00BA3C1F"/>
    <w:rsid w:val="00BA4408"/>
    <w:rsid w:val="00BA44FF"/>
    <w:rsid w:val="00BA4CBE"/>
    <w:rsid w:val="00BA4F84"/>
    <w:rsid w:val="00BA518B"/>
    <w:rsid w:val="00BA5903"/>
    <w:rsid w:val="00BA5AAD"/>
    <w:rsid w:val="00BA62EF"/>
    <w:rsid w:val="00BA7236"/>
    <w:rsid w:val="00BA7A86"/>
    <w:rsid w:val="00BA7F09"/>
    <w:rsid w:val="00BB0377"/>
    <w:rsid w:val="00BB23EA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4035"/>
    <w:rsid w:val="00BF43C7"/>
    <w:rsid w:val="00BF52A1"/>
    <w:rsid w:val="00BF552F"/>
    <w:rsid w:val="00BF58B4"/>
    <w:rsid w:val="00BF639E"/>
    <w:rsid w:val="00BF6D0A"/>
    <w:rsid w:val="00BF6DD5"/>
    <w:rsid w:val="00C005BA"/>
    <w:rsid w:val="00C01045"/>
    <w:rsid w:val="00C01707"/>
    <w:rsid w:val="00C017DC"/>
    <w:rsid w:val="00C02515"/>
    <w:rsid w:val="00C0275C"/>
    <w:rsid w:val="00C03757"/>
    <w:rsid w:val="00C03F6B"/>
    <w:rsid w:val="00C04CFB"/>
    <w:rsid w:val="00C059DD"/>
    <w:rsid w:val="00C0621A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F7A"/>
    <w:rsid w:val="00C1447C"/>
    <w:rsid w:val="00C155DD"/>
    <w:rsid w:val="00C15883"/>
    <w:rsid w:val="00C17335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2120"/>
    <w:rsid w:val="00C32357"/>
    <w:rsid w:val="00C324E3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54D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701F"/>
    <w:rsid w:val="00C9039F"/>
    <w:rsid w:val="00C906FB"/>
    <w:rsid w:val="00C90777"/>
    <w:rsid w:val="00C908EE"/>
    <w:rsid w:val="00C91AA3"/>
    <w:rsid w:val="00C91C0D"/>
    <w:rsid w:val="00C91D80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33C9"/>
    <w:rsid w:val="00CA3523"/>
    <w:rsid w:val="00CA375F"/>
    <w:rsid w:val="00CA3DA8"/>
    <w:rsid w:val="00CA4789"/>
    <w:rsid w:val="00CA4908"/>
    <w:rsid w:val="00CA553F"/>
    <w:rsid w:val="00CA5D8E"/>
    <w:rsid w:val="00CA648F"/>
    <w:rsid w:val="00CA6E24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C0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383"/>
    <w:rsid w:val="00CE38A1"/>
    <w:rsid w:val="00CE3C47"/>
    <w:rsid w:val="00CE3E1B"/>
    <w:rsid w:val="00CE4831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4FB5"/>
    <w:rsid w:val="00D26AB1"/>
    <w:rsid w:val="00D26FB2"/>
    <w:rsid w:val="00D2713F"/>
    <w:rsid w:val="00D273E6"/>
    <w:rsid w:val="00D274E4"/>
    <w:rsid w:val="00D2759E"/>
    <w:rsid w:val="00D27AA9"/>
    <w:rsid w:val="00D3042D"/>
    <w:rsid w:val="00D3083E"/>
    <w:rsid w:val="00D30F8E"/>
    <w:rsid w:val="00D31001"/>
    <w:rsid w:val="00D316CC"/>
    <w:rsid w:val="00D3186F"/>
    <w:rsid w:val="00D334C7"/>
    <w:rsid w:val="00D34B4C"/>
    <w:rsid w:val="00D34F37"/>
    <w:rsid w:val="00D36370"/>
    <w:rsid w:val="00D377FC"/>
    <w:rsid w:val="00D37AB6"/>
    <w:rsid w:val="00D40C25"/>
    <w:rsid w:val="00D40EDA"/>
    <w:rsid w:val="00D4170C"/>
    <w:rsid w:val="00D42109"/>
    <w:rsid w:val="00D421B4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CC"/>
    <w:rsid w:val="00D55034"/>
    <w:rsid w:val="00D552A6"/>
    <w:rsid w:val="00D552D8"/>
    <w:rsid w:val="00D55483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F80"/>
    <w:rsid w:val="00D92225"/>
    <w:rsid w:val="00D92A6F"/>
    <w:rsid w:val="00D92D55"/>
    <w:rsid w:val="00D92DEB"/>
    <w:rsid w:val="00D930C7"/>
    <w:rsid w:val="00D936A3"/>
    <w:rsid w:val="00D93AFD"/>
    <w:rsid w:val="00D94170"/>
    <w:rsid w:val="00D959DA"/>
    <w:rsid w:val="00D975BE"/>
    <w:rsid w:val="00D979FB"/>
    <w:rsid w:val="00D97D73"/>
    <w:rsid w:val="00DA1367"/>
    <w:rsid w:val="00DA144F"/>
    <w:rsid w:val="00DA1663"/>
    <w:rsid w:val="00DA3353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7101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74F8"/>
    <w:rsid w:val="00DE75A4"/>
    <w:rsid w:val="00DE7A3A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C48"/>
    <w:rsid w:val="00E34FB5"/>
    <w:rsid w:val="00E351FE"/>
    <w:rsid w:val="00E35820"/>
    <w:rsid w:val="00E35BCD"/>
    <w:rsid w:val="00E3668E"/>
    <w:rsid w:val="00E367F1"/>
    <w:rsid w:val="00E36B08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34"/>
    <w:rsid w:val="00E51CBA"/>
    <w:rsid w:val="00E51FB2"/>
    <w:rsid w:val="00E5204F"/>
    <w:rsid w:val="00E52674"/>
    <w:rsid w:val="00E52C26"/>
    <w:rsid w:val="00E52EDA"/>
    <w:rsid w:val="00E53AE1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F1C"/>
    <w:rsid w:val="00E60F5F"/>
    <w:rsid w:val="00E61FA0"/>
    <w:rsid w:val="00E6208C"/>
    <w:rsid w:val="00E6293C"/>
    <w:rsid w:val="00E62B24"/>
    <w:rsid w:val="00E62D57"/>
    <w:rsid w:val="00E63AA6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70459"/>
    <w:rsid w:val="00E707EF"/>
    <w:rsid w:val="00E71799"/>
    <w:rsid w:val="00E7227A"/>
    <w:rsid w:val="00E72EC9"/>
    <w:rsid w:val="00E73D63"/>
    <w:rsid w:val="00E73EB3"/>
    <w:rsid w:val="00E74FAA"/>
    <w:rsid w:val="00E753DE"/>
    <w:rsid w:val="00E76860"/>
    <w:rsid w:val="00E76B63"/>
    <w:rsid w:val="00E76E56"/>
    <w:rsid w:val="00E76ED8"/>
    <w:rsid w:val="00E778D5"/>
    <w:rsid w:val="00E77D12"/>
    <w:rsid w:val="00E8256B"/>
    <w:rsid w:val="00E8265A"/>
    <w:rsid w:val="00E82663"/>
    <w:rsid w:val="00E8294C"/>
    <w:rsid w:val="00E829C5"/>
    <w:rsid w:val="00E82EF9"/>
    <w:rsid w:val="00E8364D"/>
    <w:rsid w:val="00E83F05"/>
    <w:rsid w:val="00E83F09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4AF"/>
    <w:rsid w:val="00EB1D0B"/>
    <w:rsid w:val="00EB1DCF"/>
    <w:rsid w:val="00EB22E3"/>
    <w:rsid w:val="00EB23F5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6A3B"/>
    <w:rsid w:val="00ED7007"/>
    <w:rsid w:val="00ED7D85"/>
    <w:rsid w:val="00ED7E34"/>
    <w:rsid w:val="00ED7EC3"/>
    <w:rsid w:val="00EE00A6"/>
    <w:rsid w:val="00EE0B79"/>
    <w:rsid w:val="00EE0CDD"/>
    <w:rsid w:val="00EE11CD"/>
    <w:rsid w:val="00EE1349"/>
    <w:rsid w:val="00EE1F2D"/>
    <w:rsid w:val="00EE244F"/>
    <w:rsid w:val="00EE274C"/>
    <w:rsid w:val="00EE2CED"/>
    <w:rsid w:val="00EE6CD3"/>
    <w:rsid w:val="00EF0DCF"/>
    <w:rsid w:val="00EF1998"/>
    <w:rsid w:val="00EF46FE"/>
    <w:rsid w:val="00EF5E5D"/>
    <w:rsid w:val="00EF66B9"/>
    <w:rsid w:val="00EF6BB2"/>
    <w:rsid w:val="00EF6F1A"/>
    <w:rsid w:val="00EF71A7"/>
    <w:rsid w:val="00EF7226"/>
    <w:rsid w:val="00EF7AC2"/>
    <w:rsid w:val="00F010CD"/>
    <w:rsid w:val="00F014D6"/>
    <w:rsid w:val="00F02E66"/>
    <w:rsid w:val="00F031C9"/>
    <w:rsid w:val="00F035CB"/>
    <w:rsid w:val="00F03763"/>
    <w:rsid w:val="00F03C91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10A4D"/>
    <w:rsid w:val="00F11429"/>
    <w:rsid w:val="00F1149B"/>
    <w:rsid w:val="00F121A4"/>
    <w:rsid w:val="00F123B8"/>
    <w:rsid w:val="00F12BE2"/>
    <w:rsid w:val="00F12FBB"/>
    <w:rsid w:val="00F137A5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F79"/>
    <w:rsid w:val="00F3350B"/>
    <w:rsid w:val="00F336CE"/>
    <w:rsid w:val="00F33B30"/>
    <w:rsid w:val="00F33D5A"/>
    <w:rsid w:val="00F34D11"/>
    <w:rsid w:val="00F350DC"/>
    <w:rsid w:val="00F35A0C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730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92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152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6F2B"/>
    <w:rsid w:val="00FD6FF4"/>
    <w:rsid w:val="00FD760E"/>
    <w:rsid w:val="00FE0DA7"/>
    <w:rsid w:val="00FE0E3A"/>
    <w:rsid w:val="00FE11A8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DA"/>
    <w:rsid w:val="00FE5653"/>
    <w:rsid w:val="00FE57FC"/>
    <w:rsid w:val="00FE61EC"/>
    <w:rsid w:val="00FE7621"/>
    <w:rsid w:val="00FF0421"/>
    <w:rsid w:val="00FF0D92"/>
    <w:rsid w:val="00FF1D56"/>
    <w:rsid w:val="00FF1FDD"/>
    <w:rsid w:val="00FF3498"/>
    <w:rsid w:val="00FF3F5B"/>
    <w:rsid w:val="00FF405D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B862-7FBA-45C3-8A78-CEFCABC4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joanna.ratajczak</cp:lastModifiedBy>
  <cp:revision>4</cp:revision>
  <cp:lastPrinted>2016-01-03T14:49:00Z</cp:lastPrinted>
  <dcterms:created xsi:type="dcterms:W3CDTF">2016-01-03T14:43:00Z</dcterms:created>
  <dcterms:modified xsi:type="dcterms:W3CDTF">2016-01-03T14:49:00Z</dcterms:modified>
</cp:coreProperties>
</file>