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8F36" w14:textId="77777777" w:rsidR="00F15156" w:rsidRPr="00524C0E" w:rsidRDefault="00F15156" w:rsidP="00F15156">
      <w:pPr>
        <w:rPr>
          <w:rFonts w:asciiTheme="majorHAnsi" w:hAnsiTheme="majorHAnsi"/>
          <w:b/>
        </w:rPr>
      </w:pPr>
    </w:p>
    <w:p w14:paraId="70DEB313" w14:textId="77777777" w:rsidR="00F15156" w:rsidRPr="00524C0E" w:rsidRDefault="00F15156" w:rsidP="00F15156">
      <w:pPr>
        <w:rPr>
          <w:rFonts w:asciiTheme="majorHAnsi" w:hAnsiTheme="majorHAnsi"/>
          <w:b/>
        </w:rPr>
      </w:pPr>
    </w:p>
    <w:p w14:paraId="2A88E367" w14:textId="2A623D02" w:rsidR="00F15156" w:rsidRPr="00524C0E" w:rsidRDefault="00F15156" w:rsidP="00F15156">
      <w:pPr>
        <w:jc w:val="right"/>
        <w:rPr>
          <w:rFonts w:asciiTheme="majorHAnsi" w:hAnsiTheme="majorHAnsi"/>
        </w:rPr>
      </w:pPr>
      <w:r>
        <w:rPr>
          <w:rFonts w:asciiTheme="majorHAnsi" w:hAnsiTheme="majorHAnsi"/>
        </w:rPr>
        <w:t xml:space="preserve">Warszawa, dn. </w:t>
      </w:r>
      <w:r w:rsidR="00797E8C">
        <w:rPr>
          <w:rFonts w:asciiTheme="majorHAnsi" w:hAnsiTheme="majorHAnsi"/>
        </w:rPr>
        <w:t>3</w:t>
      </w:r>
      <w:r w:rsidR="00C401B0">
        <w:rPr>
          <w:rFonts w:asciiTheme="majorHAnsi" w:hAnsiTheme="majorHAnsi"/>
        </w:rPr>
        <w:t>0</w:t>
      </w:r>
      <w:r>
        <w:rPr>
          <w:rFonts w:asciiTheme="majorHAnsi" w:hAnsiTheme="majorHAnsi"/>
        </w:rPr>
        <w:t>.09.</w:t>
      </w:r>
      <w:r w:rsidRPr="00524C0E">
        <w:rPr>
          <w:rFonts w:asciiTheme="majorHAnsi" w:hAnsiTheme="majorHAnsi"/>
        </w:rPr>
        <w:t>2015 r.</w:t>
      </w:r>
    </w:p>
    <w:p w14:paraId="6088B7DD" w14:textId="77777777" w:rsidR="00F15156" w:rsidRPr="00524C0E" w:rsidRDefault="00F15156" w:rsidP="00F15156">
      <w:pPr>
        <w:rPr>
          <w:rFonts w:asciiTheme="majorHAnsi" w:hAnsiTheme="majorHAnsi"/>
        </w:rPr>
      </w:pPr>
    </w:p>
    <w:p w14:paraId="78028421" w14:textId="77777777" w:rsidR="00F15156" w:rsidRDefault="00F15156" w:rsidP="00F15156">
      <w:pPr>
        <w:rPr>
          <w:rFonts w:asciiTheme="majorHAnsi" w:hAnsiTheme="majorHAnsi"/>
          <w:b/>
        </w:rPr>
      </w:pPr>
    </w:p>
    <w:p w14:paraId="0B957F63" w14:textId="13E31218" w:rsidR="0096119B" w:rsidRDefault="00797E8C" w:rsidP="00F15156">
      <w:pPr>
        <w:rPr>
          <w:rFonts w:asciiTheme="majorHAnsi" w:hAnsiTheme="majorHAnsi"/>
          <w:b/>
        </w:rPr>
      </w:pPr>
      <w:r w:rsidRPr="00797E8C">
        <w:rPr>
          <w:rFonts w:asciiTheme="majorHAnsi" w:hAnsiTheme="majorHAnsi"/>
          <w:b/>
          <w:sz w:val="32"/>
        </w:rPr>
        <w:t>Powstał Kodeks</w:t>
      </w:r>
      <w:r>
        <w:rPr>
          <w:rFonts w:asciiTheme="majorHAnsi" w:hAnsiTheme="majorHAnsi"/>
          <w:b/>
          <w:sz w:val="32"/>
        </w:rPr>
        <w:t xml:space="preserve"> Dobrych Praktyk Transakcyjnych</w:t>
      </w:r>
    </w:p>
    <w:p w14:paraId="0144BFDA" w14:textId="77777777" w:rsidR="0096119B" w:rsidRDefault="0096119B" w:rsidP="00F15156">
      <w:pPr>
        <w:rPr>
          <w:rFonts w:asciiTheme="majorHAnsi" w:hAnsiTheme="majorHAnsi"/>
          <w:b/>
        </w:rPr>
      </w:pPr>
    </w:p>
    <w:p w14:paraId="769B8047" w14:textId="77777777" w:rsidR="0096119B" w:rsidRPr="00524C0E" w:rsidRDefault="0096119B" w:rsidP="00F15156">
      <w:pPr>
        <w:rPr>
          <w:rFonts w:asciiTheme="majorHAnsi" w:hAnsiTheme="majorHAnsi"/>
          <w:b/>
        </w:rPr>
      </w:pPr>
    </w:p>
    <w:p w14:paraId="1393E6F1" w14:textId="2D2336D2" w:rsidR="00F15156" w:rsidRPr="00731D3E" w:rsidRDefault="00797E8C" w:rsidP="00C573C1">
      <w:pPr>
        <w:jc w:val="both"/>
        <w:rPr>
          <w:rFonts w:asciiTheme="majorHAnsi" w:hAnsiTheme="majorHAnsi"/>
          <w:b/>
          <w:sz w:val="28"/>
          <w:szCs w:val="28"/>
        </w:rPr>
      </w:pPr>
      <w:r w:rsidRPr="00797E8C">
        <w:rPr>
          <w:rFonts w:asciiTheme="majorHAnsi" w:hAnsiTheme="majorHAnsi"/>
          <w:b/>
          <w:sz w:val="28"/>
          <w:szCs w:val="28"/>
        </w:rPr>
        <w:t>Kodeks Dobrych Praktyk Transakcyjnych zostanie zaprezentowany podczas konferencji kampanii edukacyjnej „For better data flow – praktykuj efektywne transakcje”.</w:t>
      </w:r>
    </w:p>
    <w:p w14:paraId="2C0F7641" w14:textId="77777777" w:rsidR="00F15156" w:rsidRPr="00524C0E" w:rsidRDefault="00F15156" w:rsidP="00F15156">
      <w:pPr>
        <w:rPr>
          <w:rFonts w:asciiTheme="majorHAnsi" w:hAnsiTheme="majorHAnsi"/>
          <w:b/>
        </w:rPr>
      </w:pPr>
    </w:p>
    <w:p w14:paraId="0ED4AE65" w14:textId="77777777" w:rsidR="00CC6D24" w:rsidRPr="00CC6D24" w:rsidRDefault="00CC6D24" w:rsidP="00F15156">
      <w:pPr>
        <w:rPr>
          <w:rFonts w:asciiTheme="majorHAnsi" w:hAnsiTheme="majorHAnsi" w:cs="Myriad Pro"/>
        </w:rPr>
      </w:pPr>
    </w:p>
    <w:p w14:paraId="6BC75238"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Zapraszamy do udziału w konferencji dotyczącej I edycji kampanii „For better data flow – praktykuj efektywne transakcje”. Już 8 października 2015 r. w Warszawie, w Pure Sky Club, przy ul. Złota 59 na 21 p. odbędzie się konferencja otwarta dla wszystkich zainteresowanych rozwojem rynku transakcyjnego.</w:t>
      </w:r>
    </w:p>
    <w:p w14:paraId="58AA1B5D" w14:textId="77777777" w:rsidR="00797E8C" w:rsidRPr="00797E8C" w:rsidRDefault="00797E8C" w:rsidP="00797E8C">
      <w:pPr>
        <w:jc w:val="both"/>
        <w:rPr>
          <w:rFonts w:asciiTheme="majorHAnsi" w:hAnsiTheme="majorHAnsi" w:cs="Myriad Pro"/>
        </w:rPr>
      </w:pPr>
    </w:p>
    <w:p w14:paraId="10E8A3B7" w14:textId="2572066C" w:rsidR="00797E8C" w:rsidRPr="00797E8C" w:rsidRDefault="00797E8C" w:rsidP="00797E8C">
      <w:pPr>
        <w:jc w:val="both"/>
        <w:rPr>
          <w:rFonts w:asciiTheme="majorHAnsi" w:hAnsiTheme="majorHAnsi" w:cs="Myriad Pro"/>
        </w:rPr>
      </w:pPr>
      <w:r w:rsidRPr="00797E8C">
        <w:rPr>
          <w:rFonts w:asciiTheme="majorHAnsi" w:hAnsiTheme="majorHAnsi" w:cs="Myriad Pro"/>
        </w:rPr>
        <w:t>Podczas konferencji nastąpi prezentacja Kodeksu Dobrych Praktyk Transakcyjnych, czyli zbioru rekomendacji dla prowadzenia procesów transakcyjnych. Został on opracowany przez ekspertów Rady Programowej Kampanii. W gronie wybitnych specjalistów z bogatym doświadczeniem w zakresie fuzji i przejęć, emisji akcji i obligacji, restrukturyzacji i PPP odbędzie się też debata nt. profesjonalizacji branży transakcyjnej.</w:t>
      </w:r>
    </w:p>
    <w:p w14:paraId="47DD70A8"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1537BA52"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Udział w konferencji jest bezpłatny. Liczy się kolejność zgłoszeń. Zapisy na konferencję możliwe są na stronie kampanii efektywnetransakcje.pl/formularz</w:t>
      </w:r>
    </w:p>
    <w:p w14:paraId="15F394BD"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3C9DCBEF"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Jest to również szansa na spotkanie się z wieloma cenionymi i doświadczonymi ekspertami Rady Programowej kampanii, którą tworzą:</w:t>
      </w:r>
    </w:p>
    <w:p w14:paraId="0CA56F49"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41AB06BB"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Aleksandra Porębska</w:t>
      </w:r>
      <w:r w:rsidRPr="00797E8C">
        <w:rPr>
          <w:rFonts w:asciiTheme="majorHAnsi" w:hAnsiTheme="majorHAnsi" w:cs="Myriad Pro"/>
        </w:rPr>
        <w:t>, Partner w FORDATA, przedstawiciel inicjatora kampanii. Uznany specjalista w zakresie bezpieczeństwa informacji. Odpowiada za rekomendację dobrej praktyki w tym obszarze.</w:t>
      </w:r>
    </w:p>
    <w:p w14:paraId="592E0B26"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566E9B20"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Bartosz Groele</w:t>
      </w:r>
      <w:r w:rsidRPr="00797E8C">
        <w:rPr>
          <w:rFonts w:asciiTheme="majorHAnsi" w:hAnsiTheme="majorHAnsi" w:cs="Myriad Pro"/>
        </w:rPr>
        <w:t>, partner w kancelarii Tomasik Pakosiewicz Groele oraz wiceprezes Instytutu Allerhanda. Ekspert w zakresie restrukturyzacji i postępowania upadłościowego.</w:t>
      </w:r>
    </w:p>
    <w:p w14:paraId="6C421129"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3D99395F"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Bartosz Mysiorski</w:t>
      </w:r>
      <w:r w:rsidRPr="00797E8C">
        <w:rPr>
          <w:rFonts w:asciiTheme="majorHAnsi" w:hAnsiTheme="majorHAnsi" w:cs="Myriad Pro"/>
        </w:rPr>
        <w:t>, wiceprezes Fundacji Centrum PPP. Znany i ceniony specjalista w dziedzinie Partnerstwa Publiczno-Prywatnego, autor wielu analiz, opinii i publikacji z zakresu PPP. Opracowuje rekomendację w zakresie specjalizacji PPP.</w:t>
      </w:r>
    </w:p>
    <w:p w14:paraId="3A3AC582"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7BB7D774"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Dariusz Gałązka</w:t>
      </w:r>
      <w:r w:rsidRPr="00797E8C">
        <w:rPr>
          <w:rFonts w:asciiTheme="majorHAnsi" w:hAnsiTheme="majorHAnsi" w:cs="Myriad Pro"/>
        </w:rPr>
        <w:t>, biegły rewident i partner w międzynarodowej firmie doradczej Grant Thornton. Przygotowuje rekomendację w zakresie audytu i Due Diligence finansowego i podatkowego.</w:t>
      </w:r>
    </w:p>
    <w:p w14:paraId="56D16511"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3A1F149E"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lastRenderedPageBreak/>
        <w:t>Dariusz Tenderenda</w:t>
      </w:r>
      <w:r w:rsidRPr="00797E8C">
        <w:rPr>
          <w:rFonts w:asciiTheme="majorHAnsi" w:hAnsiTheme="majorHAnsi" w:cs="Myriad Pro"/>
        </w:rPr>
        <w:t>, Członek Zarządu Domu Maklerskiego Navigator i Partner w Navigator Capital. Opracuje rekomendację w zakresie pozyskiwania kapitału poprzez publiczne i prywatne oferty akcji.</w:t>
      </w:r>
    </w:p>
    <w:p w14:paraId="5566CA43"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636A5683"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Jakub Jędrzejak</w:t>
      </w:r>
      <w:r w:rsidRPr="00797E8C">
        <w:rPr>
          <w:rFonts w:asciiTheme="majorHAnsi" w:hAnsiTheme="majorHAnsi" w:cs="Myriad Pro"/>
        </w:rPr>
        <w:t>, partner w kancelarii WKB Wierciński Kwieciński Baehr, radca prawny specjalizujący się w prowadzeniu transakcji M&amp;A z udziałem funduszy private equity oraz inwestorów zagranicznych.</w:t>
      </w:r>
    </w:p>
    <w:p w14:paraId="0185C832"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045DC929"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Jakub Ziółek</w:t>
      </w:r>
      <w:r w:rsidRPr="00797E8C">
        <w:rPr>
          <w:rFonts w:asciiTheme="majorHAnsi" w:hAnsiTheme="majorHAnsi" w:cs="Myriad Pro"/>
        </w:rPr>
        <w:t>, partner w Crido Legal, radca prawny, z bogatym doświadczeniem transakcyjnym. Przygotowuje rekomendację w zakresie nieruchomości komercyjnych.</w:t>
      </w:r>
    </w:p>
    <w:p w14:paraId="1CFAD6B5"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5E0B8E32"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Krzysztof Dziubiński</w:t>
      </w:r>
      <w:r w:rsidRPr="00797E8C">
        <w:rPr>
          <w:rFonts w:asciiTheme="majorHAnsi" w:hAnsiTheme="majorHAnsi" w:cs="Myriad Pro"/>
        </w:rPr>
        <w:t>, CFA, Prezes Zarządu Navigator Debt Advisory, Członek Zarządu w Domu Maklerskim Navigator SA. Przygotuje rekomendację w zakresie emisji obligacji korporacyjnych.</w:t>
      </w:r>
    </w:p>
    <w:p w14:paraId="7C5AEB57"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470362AA"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Małgorzata Bobrowska-Jarząbek</w:t>
      </w:r>
      <w:r w:rsidRPr="00797E8C">
        <w:rPr>
          <w:rFonts w:asciiTheme="majorHAnsi" w:hAnsiTheme="majorHAnsi" w:cs="Myriad Pro"/>
        </w:rPr>
        <w:t>, współzałożyciel i dyrektor inwestycyjny w Resource Partners. Jako ekspert w zakresie doradztwa inwestycyjnego, przygotuje rekomendację dotyczącą prowadzeni transakcji M&amp;A z udziałem funduszy private equity.</w:t>
      </w:r>
    </w:p>
    <w:p w14:paraId="67ECE98C"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06C89F3E"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Małgorzata Kuik</w:t>
      </w:r>
      <w:r w:rsidRPr="00797E8C">
        <w:rPr>
          <w:rFonts w:asciiTheme="majorHAnsi" w:hAnsiTheme="majorHAnsi" w:cs="Myriad Pro"/>
        </w:rPr>
        <w:t>, Partner w firmie doradczej F5 Konsulting, z kilkunastoletnim doświadczeniem na rynku M&amp;A, we współpracy z podmiotami prywatnymi, funduszami inwestycyjnymi, grupami kapitałowymi, Skarbem Państwa oraz samorządami terytorialnymi.</w:t>
      </w:r>
    </w:p>
    <w:p w14:paraId="5991B8E8"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466F7CA4"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Michał Zawisza</w:t>
      </w:r>
      <w:r w:rsidRPr="00797E8C">
        <w:rPr>
          <w:rFonts w:asciiTheme="majorHAnsi" w:hAnsiTheme="majorHAnsi" w:cs="Myriad Pro"/>
        </w:rPr>
        <w:t>, współzałożyciel AVALLON Sp. z o.o. polskiej firmy zarządzającej funduszami private equity. Przygotuje rekomendację w zakresie lewarowanych wykupów menedżerskich (LMBO).</w:t>
      </w:r>
    </w:p>
    <w:p w14:paraId="3E0D69AF"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239C2AB4"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Sławomir Witkowski</w:t>
      </w:r>
      <w:r w:rsidRPr="00797E8C">
        <w:rPr>
          <w:rFonts w:asciiTheme="majorHAnsi" w:hAnsiTheme="majorHAnsi" w:cs="Myriad Pro"/>
        </w:rPr>
        <w:t>, syndyk, rzeczoznawca majątkowy. Doświadczenie zawodowe w restrukturyzacji i zarządzaniu finansami zdobywał jako dyrektor finansowy w podmiotach krajowych i międzynarodowych, a od roku 2009 jako syndyk i nadzorca sądowy.</w:t>
      </w:r>
    </w:p>
    <w:p w14:paraId="391F03D9"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75E3681B" w14:textId="77777777" w:rsidR="00797E8C" w:rsidRPr="00797E8C" w:rsidRDefault="00797E8C" w:rsidP="00797E8C">
      <w:pPr>
        <w:jc w:val="both"/>
        <w:rPr>
          <w:rFonts w:asciiTheme="majorHAnsi" w:hAnsiTheme="majorHAnsi" w:cs="Myriad Pro"/>
        </w:rPr>
      </w:pPr>
      <w:r w:rsidRPr="00797E8C">
        <w:rPr>
          <w:rFonts w:asciiTheme="majorHAnsi" w:hAnsiTheme="majorHAnsi" w:cs="Myriad Pro"/>
          <w:b/>
        </w:rPr>
        <w:t>Michał Chromiński</w:t>
      </w:r>
      <w:r w:rsidRPr="00797E8C">
        <w:rPr>
          <w:rFonts w:asciiTheme="majorHAnsi" w:hAnsiTheme="majorHAnsi" w:cs="Myriad Pro"/>
        </w:rPr>
        <w:t>, zastępca Dyrektora Zarządzającego Pionem Strategii i Rozwoju, Poczta Polska S.A. Posiada wieloletnie doświadczenie na europejskim rynku transakcji prywatnych (M&amp;A) zdobywane w: Deloitte, KPMG, BESI (obecnie Haitong Bank), butikach doradczych oraz w obecnym miejscu pracy. Uczestniczył, w tym w roli wiodącej, w kilkudziesięciu transakcjach w większości sektorów gospodarki, zarówno po stronie sprzedającego, jak i kupującego, pracując na rzecz podmiotów prywatnych, publicznych i państwowych, krajowych i zagranicznych, inwestorów strategicznych, jak i finansowych.</w:t>
      </w:r>
    </w:p>
    <w:p w14:paraId="301DD091"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02D70ECA"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Na stronie internetowej efektywnetransakcje.pl głosując można poprzeć inicjatywę.</w:t>
      </w:r>
    </w:p>
    <w:p w14:paraId="0F5F1322"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4D6DB839"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Misją kampanii edukacyjnej „For better data flow – praktykuj efektywne transakcje” jest edukacja rynku w zakresie dobrych praktyk, które stosowane są podczas procesów transakcyjnych. Regulacje prawne coraz częściej uzupełniane są dobrymi praktykami, które znacznie usprawniają współpracę wszystkim stronom szeroko rozumianego procesu transakcyjnego. Do tej pory powstało wiele branżowych katalogów dobrych praktyk, np. Kodeks Dobrych Praktyk Doradcy w procesie PPP, Kodeks Dobrych Praktyk Spółek </w:t>
      </w:r>
      <w:r w:rsidRPr="00797E8C">
        <w:rPr>
          <w:rFonts w:asciiTheme="majorHAnsi" w:hAnsiTheme="majorHAnsi" w:cs="Myriad Pro"/>
        </w:rPr>
        <w:lastRenderedPageBreak/>
        <w:t>notowanych na GPW. Nie ujmują one jednak wszystkich aspektów, jakie wytworzyły się podczas szybkiego rozwoju branży transakcyjnej.</w:t>
      </w:r>
    </w:p>
    <w:p w14:paraId="05414E62" w14:textId="77777777" w:rsidR="00797E8C" w:rsidRPr="00797E8C" w:rsidRDefault="00797E8C" w:rsidP="00797E8C">
      <w:pPr>
        <w:jc w:val="both"/>
        <w:rPr>
          <w:rFonts w:asciiTheme="majorHAnsi" w:hAnsiTheme="majorHAnsi" w:cs="Myriad Pro"/>
        </w:rPr>
      </w:pPr>
      <w:r w:rsidRPr="00797E8C">
        <w:rPr>
          <w:rFonts w:asciiTheme="majorHAnsi" w:hAnsiTheme="majorHAnsi" w:cs="Myriad Pro"/>
        </w:rPr>
        <w:t xml:space="preserve"> </w:t>
      </w:r>
    </w:p>
    <w:p w14:paraId="3568B9C1" w14:textId="77777777" w:rsidR="00797E8C" w:rsidRDefault="00797E8C" w:rsidP="00797E8C">
      <w:pPr>
        <w:jc w:val="both"/>
        <w:rPr>
          <w:rFonts w:asciiTheme="majorHAnsi" w:hAnsiTheme="majorHAnsi" w:cs="Myriad Pro"/>
        </w:rPr>
      </w:pPr>
      <w:r w:rsidRPr="00797E8C">
        <w:rPr>
          <w:rFonts w:asciiTheme="majorHAnsi" w:hAnsiTheme="majorHAnsi" w:cs="Myriad Pro"/>
        </w:rPr>
        <w:t>Inicjatorem kampanii jest firma FORDATA, pionier technologii Virtual Data Room na rynku polskim i Europy Centralnej i Wschodniej.</w:t>
      </w:r>
    </w:p>
    <w:p w14:paraId="36DE5364" w14:textId="77777777" w:rsidR="00797E8C" w:rsidRDefault="00797E8C" w:rsidP="00797E8C">
      <w:pPr>
        <w:jc w:val="both"/>
        <w:rPr>
          <w:rFonts w:asciiTheme="majorHAnsi" w:hAnsiTheme="majorHAnsi" w:cs="Myriad Pro"/>
        </w:rPr>
      </w:pPr>
    </w:p>
    <w:p w14:paraId="2FA41F74" w14:textId="3953CC0E" w:rsidR="00090D3B" w:rsidRDefault="00090D3B" w:rsidP="00797E8C">
      <w:pPr>
        <w:jc w:val="both"/>
        <w:rPr>
          <w:rFonts w:asciiTheme="majorHAnsi" w:hAnsiTheme="majorHAnsi" w:cs="Myriad Pro"/>
        </w:rPr>
      </w:pPr>
      <w:r>
        <w:rPr>
          <w:rFonts w:asciiTheme="majorHAnsi" w:hAnsiTheme="majorHAnsi" w:cs="Myriad Pro"/>
        </w:rPr>
        <w:t>Agenda konferencji:</w:t>
      </w:r>
    </w:p>
    <w:p w14:paraId="226D368D" w14:textId="465767D4" w:rsidR="00797E8C" w:rsidRDefault="0018749B" w:rsidP="00797E8C">
      <w:pPr>
        <w:jc w:val="both"/>
        <w:rPr>
          <w:rFonts w:asciiTheme="majorHAnsi" w:hAnsiTheme="majorHAnsi" w:cs="Myriad Pro"/>
        </w:rPr>
      </w:pPr>
      <w:hyperlink r:id="rId9" w:history="1">
        <w:r w:rsidR="00797E8C" w:rsidRPr="0020380A">
          <w:rPr>
            <w:rStyle w:val="Hipercze"/>
            <w:rFonts w:asciiTheme="majorHAnsi" w:hAnsiTheme="majorHAnsi" w:cs="Myriad Pro"/>
          </w:rPr>
          <w:t>http://efektywnetransakcje.pl/wp-content/uploads/2015/07/Agenda_Konferencja_For_better_data_flow_8.10.2015.pdf</w:t>
        </w:r>
      </w:hyperlink>
    </w:p>
    <w:p w14:paraId="2B24CA67" w14:textId="14AB7463" w:rsidR="00F15156" w:rsidRDefault="00F15156" w:rsidP="00797E8C">
      <w:pPr>
        <w:jc w:val="both"/>
        <w:rPr>
          <w:rFonts w:asciiTheme="majorHAnsi" w:hAnsiTheme="majorHAnsi"/>
        </w:rPr>
      </w:pPr>
    </w:p>
    <w:p w14:paraId="7C74A661" w14:textId="77777777" w:rsidR="001E08E4" w:rsidRDefault="001E08E4" w:rsidP="00797E8C">
      <w:pPr>
        <w:jc w:val="both"/>
        <w:rPr>
          <w:rFonts w:asciiTheme="majorHAnsi" w:hAnsiTheme="majorHAnsi"/>
        </w:rPr>
      </w:pPr>
    </w:p>
    <w:p w14:paraId="3A2BA0B6" w14:textId="77777777" w:rsidR="001E08E4" w:rsidRPr="0096119B" w:rsidRDefault="001E08E4" w:rsidP="001E08E4">
      <w:pPr>
        <w:jc w:val="both"/>
        <w:rPr>
          <w:rFonts w:asciiTheme="majorHAnsi" w:hAnsiTheme="majorHAnsi"/>
          <w:b/>
        </w:rPr>
      </w:pPr>
      <w:r w:rsidRPr="0096119B">
        <w:rPr>
          <w:rFonts w:asciiTheme="majorHAnsi" w:hAnsiTheme="majorHAnsi"/>
          <w:b/>
        </w:rPr>
        <w:t>Kontakt dla mediów</w:t>
      </w:r>
    </w:p>
    <w:p w14:paraId="36C1499F" w14:textId="77777777" w:rsidR="001E08E4" w:rsidRPr="0096119B" w:rsidRDefault="001E08E4" w:rsidP="001E08E4">
      <w:pPr>
        <w:jc w:val="both"/>
        <w:rPr>
          <w:rFonts w:asciiTheme="majorHAnsi" w:hAnsiTheme="majorHAnsi"/>
          <w:b/>
        </w:rPr>
      </w:pPr>
    </w:p>
    <w:p w14:paraId="30323AFE" w14:textId="77777777" w:rsidR="001E08E4" w:rsidRPr="0096119B" w:rsidRDefault="001E08E4" w:rsidP="001E08E4">
      <w:pPr>
        <w:jc w:val="both"/>
        <w:rPr>
          <w:rFonts w:asciiTheme="majorHAnsi" w:hAnsiTheme="majorHAnsi"/>
        </w:rPr>
      </w:pPr>
      <w:r w:rsidRPr="0096119B">
        <w:rPr>
          <w:rFonts w:asciiTheme="majorHAnsi" w:hAnsiTheme="majorHAnsi"/>
        </w:rPr>
        <w:t>Beata Milewicz, Rzecznik prasowy</w:t>
      </w:r>
    </w:p>
    <w:p w14:paraId="120E0123" w14:textId="77777777" w:rsidR="001E08E4" w:rsidRPr="0096119B" w:rsidRDefault="001E08E4" w:rsidP="001E08E4">
      <w:pPr>
        <w:jc w:val="both"/>
        <w:rPr>
          <w:rFonts w:asciiTheme="majorHAnsi" w:hAnsiTheme="majorHAnsi"/>
        </w:rPr>
      </w:pPr>
      <w:hyperlink r:id="rId10" w:history="1">
        <w:r w:rsidRPr="0091455D">
          <w:rPr>
            <w:rStyle w:val="Hipercze"/>
            <w:rFonts w:asciiTheme="majorHAnsi" w:hAnsiTheme="majorHAnsi"/>
          </w:rPr>
          <w:t>beata.milewicz@efektywnetransakcje.pl</w:t>
        </w:r>
      </w:hyperlink>
    </w:p>
    <w:p w14:paraId="3E4E4D8B" w14:textId="77777777" w:rsidR="001E08E4" w:rsidRPr="0096119B" w:rsidRDefault="001E08E4" w:rsidP="001E08E4">
      <w:pPr>
        <w:jc w:val="both"/>
        <w:rPr>
          <w:rFonts w:asciiTheme="majorHAnsi" w:hAnsiTheme="majorHAnsi"/>
          <w:color w:val="000000"/>
        </w:rPr>
      </w:pPr>
      <w:r w:rsidRPr="0096119B">
        <w:rPr>
          <w:rFonts w:asciiTheme="majorHAnsi" w:hAnsiTheme="majorHAnsi"/>
        </w:rPr>
        <w:t xml:space="preserve">Tel. </w:t>
      </w:r>
      <w:r w:rsidRPr="0096119B">
        <w:rPr>
          <w:rFonts w:asciiTheme="majorHAnsi" w:hAnsiTheme="majorHAnsi"/>
          <w:color w:val="000000"/>
        </w:rPr>
        <w:t>(+48) 508 051 138</w:t>
      </w:r>
    </w:p>
    <w:p w14:paraId="5D019F51" w14:textId="77777777" w:rsidR="001E08E4" w:rsidRPr="0096119B" w:rsidRDefault="001E08E4" w:rsidP="001E08E4">
      <w:pPr>
        <w:jc w:val="both"/>
        <w:rPr>
          <w:rFonts w:asciiTheme="majorHAnsi" w:hAnsiTheme="majorHAnsi"/>
        </w:rPr>
      </w:pPr>
    </w:p>
    <w:p w14:paraId="2249CDC1" w14:textId="77777777" w:rsidR="001E08E4" w:rsidRPr="0096119B" w:rsidRDefault="001E08E4" w:rsidP="001E08E4">
      <w:pPr>
        <w:jc w:val="both"/>
        <w:rPr>
          <w:rFonts w:asciiTheme="majorHAnsi" w:hAnsiTheme="majorHAnsi"/>
        </w:rPr>
      </w:pPr>
      <w:r w:rsidRPr="0096119B">
        <w:rPr>
          <w:rFonts w:asciiTheme="majorHAnsi" w:hAnsiTheme="majorHAnsi"/>
        </w:rPr>
        <w:t xml:space="preserve">Więcej informacji o kampanii: </w:t>
      </w:r>
      <w:hyperlink r:id="rId11" w:history="1">
        <w:r w:rsidRPr="0096119B">
          <w:rPr>
            <w:rStyle w:val="Hipercze"/>
            <w:rFonts w:asciiTheme="majorHAnsi" w:hAnsiTheme="majorHAnsi"/>
          </w:rPr>
          <w:t>efektywnetransakcje.pl</w:t>
        </w:r>
      </w:hyperlink>
    </w:p>
    <w:p w14:paraId="04672B1A" w14:textId="77777777" w:rsidR="001E08E4" w:rsidRPr="0096119B" w:rsidRDefault="001E08E4" w:rsidP="001E08E4">
      <w:pPr>
        <w:jc w:val="both"/>
        <w:rPr>
          <w:rFonts w:asciiTheme="majorHAnsi" w:hAnsiTheme="majorHAnsi"/>
          <w:b/>
        </w:rPr>
      </w:pPr>
    </w:p>
    <w:p w14:paraId="04ED2A96" w14:textId="77777777" w:rsidR="001E08E4" w:rsidRPr="0096119B" w:rsidRDefault="001E08E4" w:rsidP="001E08E4">
      <w:pPr>
        <w:jc w:val="both"/>
        <w:rPr>
          <w:rFonts w:asciiTheme="majorHAnsi" w:hAnsiTheme="majorHAnsi"/>
          <w:b/>
        </w:rPr>
      </w:pPr>
    </w:p>
    <w:p w14:paraId="1987816E" w14:textId="77777777" w:rsidR="001E08E4" w:rsidRPr="0096119B" w:rsidRDefault="001E08E4" w:rsidP="001E08E4">
      <w:pPr>
        <w:jc w:val="both"/>
        <w:rPr>
          <w:rFonts w:asciiTheme="majorHAnsi" w:hAnsiTheme="majorHAnsi"/>
          <w:b/>
        </w:rPr>
      </w:pPr>
      <w:r w:rsidRPr="0096119B">
        <w:rPr>
          <w:rFonts w:asciiTheme="majorHAnsi" w:hAnsiTheme="majorHAnsi"/>
          <w:b/>
        </w:rPr>
        <w:t>Partnerami medialnymi kampanii są:</w:t>
      </w:r>
    </w:p>
    <w:p w14:paraId="7E7D10A1" w14:textId="77777777" w:rsidR="001E08E4" w:rsidRPr="0096119B" w:rsidRDefault="001E08E4" w:rsidP="001E08E4">
      <w:pPr>
        <w:pStyle w:val="Akapitzlist"/>
        <w:numPr>
          <w:ilvl w:val="0"/>
          <w:numId w:val="2"/>
        </w:numPr>
        <w:ind w:left="426" w:hanging="426"/>
        <w:jc w:val="both"/>
        <w:rPr>
          <w:rFonts w:asciiTheme="majorHAnsi" w:hAnsiTheme="majorHAnsi"/>
        </w:rPr>
      </w:pPr>
      <w:r w:rsidRPr="0096119B">
        <w:rPr>
          <w:rFonts w:asciiTheme="majorHAnsi" w:hAnsiTheme="majorHAnsi"/>
        </w:rPr>
        <w:t>Rzeczpospolita</w:t>
      </w:r>
    </w:p>
    <w:p w14:paraId="1EF3EF1F" w14:textId="77777777" w:rsidR="001E08E4" w:rsidRPr="0096119B" w:rsidRDefault="001E08E4" w:rsidP="001E08E4">
      <w:pPr>
        <w:pStyle w:val="Akapitzlist"/>
        <w:numPr>
          <w:ilvl w:val="0"/>
          <w:numId w:val="2"/>
        </w:numPr>
        <w:ind w:left="426" w:hanging="426"/>
        <w:jc w:val="both"/>
        <w:rPr>
          <w:rFonts w:asciiTheme="majorHAnsi" w:hAnsiTheme="majorHAnsi"/>
        </w:rPr>
      </w:pPr>
      <w:r w:rsidRPr="0096119B">
        <w:rPr>
          <w:rFonts w:asciiTheme="majorHAnsi" w:hAnsiTheme="majorHAnsi"/>
        </w:rPr>
        <w:t>Parkiet</w:t>
      </w:r>
    </w:p>
    <w:p w14:paraId="0F292AB1" w14:textId="77777777" w:rsidR="001E08E4" w:rsidRPr="0096119B" w:rsidRDefault="001E08E4" w:rsidP="001E08E4">
      <w:pPr>
        <w:pStyle w:val="Akapitzlist"/>
        <w:numPr>
          <w:ilvl w:val="0"/>
          <w:numId w:val="2"/>
        </w:numPr>
        <w:ind w:left="426" w:hanging="426"/>
        <w:jc w:val="both"/>
        <w:rPr>
          <w:rFonts w:asciiTheme="majorHAnsi" w:hAnsiTheme="majorHAnsi"/>
        </w:rPr>
      </w:pPr>
      <w:r w:rsidRPr="0096119B">
        <w:rPr>
          <w:rFonts w:asciiTheme="majorHAnsi" w:hAnsiTheme="majorHAnsi"/>
        </w:rPr>
        <w:t>Instytut Rynku Kapitałowego IRK</w:t>
      </w:r>
    </w:p>
    <w:p w14:paraId="39578525" w14:textId="77777777" w:rsidR="001E08E4" w:rsidRPr="0096119B" w:rsidRDefault="001E08E4" w:rsidP="001E08E4">
      <w:pPr>
        <w:pStyle w:val="Akapitzlist"/>
        <w:numPr>
          <w:ilvl w:val="0"/>
          <w:numId w:val="2"/>
        </w:numPr>
        <w:ind w:left="426" w:hanging="426"/>
        <w:jc w:val="both"/>
        <w:rPr>
          <w:rFonts w:asciiTheme="majorHAnsi" w:hAnsiTheme="majorHAnsi" w:cs="Myriad Pro"/>
        </w:rPr>
      </w:pPr>
      <w:r w:rsidRPr="0096119B">
        <w:rPr>
          <w:rFonts w:asciiTheme="majorHAnsi" w:hAnsiTheme="majorHAnsi" w:cs="Myriad Pro"/>
        </w:rPr>
        <w:t xml:space="preserve">Instytutu </w:t>
      </w:r>
      <w:proofErr w:type="spellStart"/>
      <w:r w:rsidRPr="0096119B">
        <w:rPr>
          <w:rFonts w:asciiTheme="majorHAnsi" w:hAnsiTheme="majorHAnsi" w:cs="Myriad Pro"/>
        </w:rPr>
        <w:t>Allerhanda</w:t>
      </w:r>
      <w:proofErr w:type="spellEnd"/>
    </w:p>
    <w:p w14:paraId="6D9BA2CC" w14:textId="77777777" w:rsidR="001E08E4" w:rsidRPr="0096119B" w:rsidRDefault="001E08E4" w:rsidP="001E08E4">
      <w:pPr>
        <w:pStyle w:val="Akapitzlist"/>
        <w:numPr>
          <w:ilvl w:val="0"/>
          <w:numId w:val="2"/>
        </w:numPr>
        <w:ind w:left="426" w:hanging="426"/>
        <w:jc w:val="both"/>
        <w:rPr>
          <w:rFonts w:asciiTheme="majorHAnsi" w:hAnsiTheme="majorHAnsi" w:cs="Myriad Pro"/>
        </w:rPr>
      </w:pPr>
      <w:r w:rsidRPr="0096119B">
        <w:rPr>
          <w:rFonts w:asciiTheme="majorHAnsi" w:hAnsiTheme="majorHAnsi" w:cs="Myriad Pro"/>
        </w:rPr>
        <w:t>GPW Media</w:t>
      </w:r>
    </w:p>
    <w:p w14:paraId="06C15B75" w14:textId="77777777" w:rsidR="001E08E4" w:rsidRPr="0096119B" w:rsidRDefault="001E08E4" w:rsidP="001E08E4">
      <w:pPr>
        <w:pStyle w:val="Akapitzlist"/>
        <w:numPr>
          <w:ilvl w:val="0"/>
          <w:numId w:val="2"/>
        </w:numPr>
        <w:ind w:left="426" w:hanging="426"/>
        <w:jc w:val="both"/>
        <w:rPr>
          <w:rFonts w:asciiTheme="majorHAnsi" w:hAnsiTheme="majorHAnsi" w:cs="Myriad Pro"/>
        </w:rPr>
      </w:pPr>
      <w:r w:rsidRPr="0096119B">
        <w:rPr>
          <w:rFonts w:asciiTheme="majorHAnsi" w:hAnsiTheme="majorHAnsi" w:cs="Myriad Pro"/>
        </w:rPr>
        <w:t>Korporacyjnie.pl</w:t>
      </w:r>
    </w:p>
    <w:p w14:paraId="42DE47D5" w14:textId="77777777" w:rsidR="001E08E4" w:rsidRPr="0096119B" w:rsidRDefault="001E08E4" w:rsidP="001E08E4">
      <w:pPr>
        <w:pStyle w:val="Akapitzlist"/>
        <w:numPr>
          <w:ilvl w:val="0"/>
          <w:numId w:val="2"/>
        </w:numPr>
        <w:ind w:left="426" w:hanging="426"/>
        <w:jc w:val="both"/>
        <w:rPr>
          <w:rFonts w:asciiTheme="majorHAnsi" w:hAnsiTheme="majorHAnsi" w:cs="Myriad Pro"/>
        </w:rPr>
      </w:pPr>
      <w:r w:rsidRPr="0096119B">
        <w:rPr>
          <w:rFonts w:asciiTheme="majorHAnsi" w:hAnsiTheme="majorHAnsi" w:cs="Myriad Pro"/>
        </w:rPr>
        <w:t xml:space="preserve">Szukam-inwestora.com </w:t>
      </w:r>
    </w:p>
    <w:p w14:paraId="64769649" w14:textId="77777777" w:rsidR="001E08E4" w:rsidRPr="0096119B" w:rsidRDefault="001E08E4" w:rsidP="001E08E4">
      <w:pPr>
        <w:ind w:left="426" w:hanging="426"/>
        <w:jc w:val="both"/>
        <w:rPr>
          <w:rFonts w:asciiTheme="majorHAnsi" w:hAnsiTheme="majorHAnsi" w:cs="Myriad Pro"/>
        </w:rPr>
      </w:pPr>
    </w:p>
    <w:p w14:paraId="34705B8B" w14:textId="77777777" w:rsidR="001E08E4" w:rsidRPr="0096119B" w:rsidRDefault="001E08E4" w:rsidP="001E08E4">
      <w:pPr>
        <w:ind w:left="426" w:hanging="426"/>
        <w:jc w:val="both"/>
        <w:rPr>
          <w:rFonts w:asciiTheme="majorHAnsi" w:hAnsiTheme="majorHAnsi" w:cs="Myriad Pro"/>
          <w:b/>
        </w:rPr>
      </w:pPr>
      <w:r w:rsidRPr="0096119B">
        <w:rPr>
          <w:rFonts w:asciiTheme="majorHAnsi" w:hAnsiTheme="majorHAnsi" w:cs="Myriad Pro"/>
          <w:b/>
        </w:rPr>
        <w:t>Partnerami strategicznymi kampanii są:</w:t>
      </w:r>
    </w:p>
    <w:p w14:paraId="5574A1FC" w14:textId="77777777" w:rsidR="001E08E4" w:rsidRPr="0096119B" w:rsidRDefault="001E08E4" w:rsidP="001E08E4">
      <w:pPr>
        <w:pStyle w:val="Akapitzlist"/>
        <w:numPr>
          <w:ilvl w:val="0"/>
          <w:numId w:val="3"/>
        </w:numPr>
        <w:ind w:left="426" w:hanging="426"/>
        <w:jc w:val="both"/>
        <w:rPr>
          <w:rFonts w:asciiTheme="majorHAnsi" w:hAnsiTheme="majorHAnsi" w:cs="Myriad Pro"/>
        </w:rPr>
      </w:pPr>
      <w:r w:rsidRPr="0096119B">
        <w:rPr>
          <w:rFonts w:asciiTheme="majorHAnsi" w:hAnsiTheme="majorHAnsi" w:cs="Myriad Pro"/>
        </w:rPr>
        <w:t>Fundacji Centrum PPP</w:t>
      </w:r>
    </w:p>
    <w:p w14:paraId="76772D1D" w14:textId="77777777" w:rsidR="001E08E4" w:rsidRPr="0096119B" w:rsidRDefault="001E08E4" w:rsidP="001E08E4">
      <w:pPr>
        <w:pStyle w:val="Akapitzlist"/>
        <w:numPr>
          <w:ilvl w:val="0"/>
          <w:numId w:val="3"/>
        </w:numPr>
        <w:ind w:left="426" w:hanging="426"/>
        <w:jc w:val="both"/>
        <w:rPr>
          <w:rFonts w:asciiTheme="majorHAnsi" w:hAnsiTheme="majorHAnsi"/>
        </w:rPr>
      </w:pPr>
      <w:r w:rsidRPr="0096119B">
        <w:rPr>
          <w:rFonts w:asciiTheme="majorHAnsi" w:hAnsiTheme="majorHAnsi"/>
        </w:rPr>
        <w:t xml:space="preserve">Tomasik </w:t>
      </w:r>
      <w:proofErr w:type="spellStart"/>
      <w:r w:rsidRPr="0096119B">
        <w:rPr>
          <w:rFonts w:asciiTheme="majorHAnsi" w:hAnsiTheme="majorHAnsi"/>
        </w:rPr>
        <w:t>Pakosiewicz</w:t>
      </w:r>
      <w:proofErr w:type="spellEnd"/>
      <w:r w:rsidRPr="0096119B">
        <w:rPr>
          <w:rFonts w:asciiTheme="majorHAnsi" w:hAnsiTheme="majorHAnsi"/>
        </w:rPr>
        <w:t xml:space="preserve"> </w:t>
      </w:r>
      <w:proofErr w:type="spellStart"/>
      <w:r w:rsidRPr="0096119B">
        <w:rPr>
          <w:rFonts w:asciiTheme="majorHAnsi" w:hAnsiTheme="majorHAnsi"/>
        </w:rPr>
        <w:t>Groele</w:t>
      </w:r>
      <w:proofErr w:type="spellEnd"/>
    </w:p>
    <w:p w14:paraId="550AB94E" w14:textId="77777777" w:rsidR="001E08E4" w:rsidRPr="0096119B" w:rsidRDefault="001E08E4" w:rsidP="001E08E4">
      <w:pPr>
        <w:pStyle w:val="Akapitzlist"/>
        <w:numPr>
          <w:ilvl w:val="0"/>
          <w:numId w:val="3"/>
        </w:numPr>
        <w:ind w:left="426" w:hanging="426"/>
        <w:jc w:val="both"/>
        <w:rPr>
          <w:rFonts w:asciiTheme="majorHAnsi" w:hAnsiTheme="majorHAnsi"/>
        </w:rPr>
      </w:pPr>
      <w:r w:rsidRPr="0096119B">
        <w:rPr>
          <w:rFonts w:asciiTheme="majorHAnsi" w:hAnsiTheme="majorHAnsi"/>
        </w:rPr>
        <w:t>Grant Thornton</w:t>
      </w:r>
    </w:p>
    <w:p w14:paraId="1773C446" w14:textId="77777777" w:rsidR="001E08E4" w:rsidRPr="0096119B" w:rsidRDefault="001E08E4" w:rsidP="001E08E4">
      <w:pPr>
        <w:pStyle w:val="Akapitzlist"/>
        <w:numPr>
          <w:ilvl w:val="0"/>
          <w:numId w:val="3"/>
        </w:numPr>
        <w:ind w:left="426" w:hanging="426"/>
        <w:jc w:val="both"/>
        <w:rPr>
          <w:rFonts w:asciiTheme="majorHAnsi" w:hAnsiTheme="majorHAnsi"/>
        </w:rPr>
      </w:pPr>
      <w:proofErr w:type="spellStart"/>
      <w:r w:rsidRPr="0096119B">
        <w:rPr>
          <w:rFonts w:asciiTheme="majorHAnsi" w:hAnsiTheme="majorHAnsi"/>
        </w:rPr>
        <w:t>Crido</w:t>
      </w:r>
      <w:proofErr w:type="spellEnd"/>
      <w:r w:rsidRPr="0096119B">
        <w:rPr>
          <w:rFonts w:asciiTheme="majorHAnsi" w:hAnsiTheme="majorHAnsi"/>
        </w:rPr>
        <w:t xml:space="preserve"> </w:t>
      </w:r>
      <w:proofErr w:type="spellStart"/>
      <w:r w:rsidRPr="0096119B">
        <w:rPr>
          <w:rFonts w:asciiTheme="majorHAnsi" w:hAnsiTheme="majorHAnsi"/>
        </w:rPr>
        <w:t>Legal</w:t>
      </w:r>
      <w:proofErr w:type="spellEnd"/>
    </w:p>
    <w:p w14:paraId="4F3D6A3A" w14:textId="77777777" w:rsidR="001E08E4" w:rsidRPr="0096119B" w:rsidRDefault="001E08E4" w:rsidP="001E08E4">
      <w:pPr>
        <w:pStyle w:val="Akapitzlist"/>
        <w:numPr>
          <w:ilvl w:val="0"/>
          <w:numId w:val="3"/>
        </w:numPr>
        <w:ind w:left="426" w:hanging="426"/>
        <w:jc w:val="both"/>
        <w:rPr>
          <w:rFonts w:asciiTheme="majorHAnsi" w:hAnsiTheme="majorHAnsi"/>
        </w:rPr>
      </w:pPr>
      <w:r w:rsidRPr="0096119B">
        <w:rPr>
          <w:rFonts w:asciiTheme="majorHAnsi" w:hAnsiTheme="majorHAnsi"/>
        </w:rPr>
        <w:t>F5 Konsulting</w:t>
      </w:r>
    </w:p>
    <w:p w14:paraId="022100C6" w14:textId="77777777" w:rsidR="001E08E4" w:rsidRPr="0096119B" w:rsidRDefault="001E08E4" w:rsidP="001E08E4">
      <w:pPr>
        <w:pStyle w:val="Akapitzlist"/>
        <w:numPr>
          <w:ilvl w:val="0"/>
          <w:numId w:val="3"/>
        </w:numPr>
        <w:ind w:left="426" w:hanging="426"/>
        <w:jc w:val="both"/>
        <w:rPr>
          <w:rFonts w:asciiTheme="majorHAnsi" w:hAnsiTheme="majorHAnsi"/>
        </w:rPr>
      </w:pPr>
      <w:r w:rsidRPr="0096119B">
        <w:rPr>
          <w:rFonts w:asciiTheme="majorHAnsi" w:hAnsiTheme="majorHAnsi"/>
        </w:rPr>
        <w:t xml:space="preserve">AVALLON Sp. z </w:t>
      </w:r>
      <w:proofErr w:type="spellStart"/>
      <w:r w:rsidRPr="0096119B">
        <w:rPr>
          <w:rFonts w:asciiTheme="majorHAnsi" w:hAnsiTheme="majorHAnsi"/>
        </w:rPr>
        <w:t>o.o</w:t>
      </w:r>
      <w:proofErr w:type="spellEnd"/>
      <w:r w:rsidRPr="0096119B">
        <w:rPr>
          <w:rFonts w:asciiTheme="majorHAnsi" w:hAnsiTheme="majorHAnsi"/>
        </w:rPr>
        <w:t xml:space="preserve"> </w:t>
      </w:r>
    </w:p>
    <w:p w14:paraId="47276D44" w14:textId="77777777" w:rsidR="001E08E4" w:rsidRPr="0096119B" w:rsidRDefault="001E08E4" w:rsidP="001E08E4">
      <w:pPr>
        <w:pStyle w:val="Akapitzlist"/>
        <w:numPr>
          <w:ilvl w:val="0"/>
          <w:numId w:val="3"/>
        </w:numPr>
        <w:ind w:left="426" w:hanging="426"/>
        <w:jc w:val="both"/>
        <w:rPr>
          <w:rFonts w:asciiTheme="majorHAnsi" w:hAnsiTheme="majorHAnsi"/>
        </w:rPr>
      </w:pPr>
      <w:r w:rsidRPr="0096119B">
        <w:rPr>
          <w:rFonts w:asciiTheme="majorHAnsi" w:hAnsiTheme="majorHAnsi"/>
        </w:rPr>
        <w:t xml:space="preserve">WKB Wierciński Kwieciński </w:t>
      </w:r>
      <w:proofErr w:type="spellStart"/>
      <w:r w:rsidRPr="0096119B">
        <w:rPr>
          <w:rFonts w:asciiTheme="majorHAnsi" w:hAnsiTheme="majorHAnsi"/>
        </w:rPr>
        <w:t>Baehr</w:t>
      </w:r>
      <w:proofErr w:type="spellEnd"/>
    </w:p>
    <w:p w14:paraId="4E97B288" w14:textId="77777777" w:rsidR="001E08E4" w:rsidRPr="0096119B" w:rsidRDefault="001E08E4" w:rsidP="001E08E4">
      <w:pPr>
        <w:pStyle w:val="Akapitzlist"/>
        <w:numPr>
          <w:ilvl w:val="0"/>
          <w:numId w:val="3"/>
        </w:numPr>
        <w:ind w:left="426" w:hanging="426"/>
        <w:jc w:val="both"/>
        <w:rPr>
          <w:rFonts w:asciiTheme="majorHAnsi" w:hAnsiTheme="majorHAnsi"/>
        </w:rPr>
      </w:pPr>
      <w:r w:rsidRPr="0096119B">
        <w:rPr>
          <w:rFonts w:asciiTheme="majorHAnsi" w:hAnsiTheme="majorHAnsi"/>
        </w:rPr>
        <w:t xml:space="preserve">Dom Maklerski </w:t>
      </w:r>
      <w:proofErr w:type="spellStart"/>
      <w:r w:rsidRPr="0096119B">
        <w:rPr>
          <w:rFonts w:asciiTheme="majorHAnsi" w:hAnsiTheme="majorHAnsi"/>
        </w:rPr>
        <w:t>Navigator</w:t>
      </w:r>
      <w:proofErr w:type="spellEnd"/>
      <w:r w:rsidRPr="0096119B">
        <w:rPr>
          <w:rFonts w:asciiTheme="majorHAnsi" w:hAnsiTheme="majorHAnsi"/>
        </w:rPr>
        <w:t xml:space="preserve"> S.A.</w:t>
      </w:r>
    </w:p>
    <w:p w14:paraId="2CA8DA4F" w14:textId="77777777" w:rsidR="001E08E4" w:rsidRPr="0096119B" w:rsidRDefault="001E08E4" w:rsidP="001E08E4">
      <w:pPr>
        <w:pStyle w:val="Akapitzlist"/>
        <w:numPr>
          <w:ilvl w:val="0"/>
          <w:numId w:val="3"/>
        </w:numPr>
        <w:ind w:left="426" w:hanging="426"/>
        <w:jc w:val="both"/>
        <w:rPr>
          <w:rFonts w:asciiTheme="majorHAnsi" w:hAnsiTheme="majorHAnsi"/>
        </w:rPr>
      </w:pPr>
      <w:r w:rsidRPr="0096119B">
        <w:rPr>
          <w:rFonts w:asciiTheme="majorHAnsi" w:hAnsiTheme="majorHAnsi"/>
        </w:rPr>
        <w:t>CAG</w:t>
      </w:r>
    </w:p>
    <w:p w14:paraId="64CBC670" w14:textId="77777777" w:rsidR="001E08E4" w:rsidRPr="0096119B" w:rsidRDefault="001E08E4" w:rsidP="001E08E4">
      <w:pPr>
        <w:pStyle w:val="Akapitzlist"/>
        <w:numPr>
          <w:ilvl w:val="0"/>
          <w:numId w:val="3"/>
        </w:numPr>
        <w:ind w:left="426" w:hanging="426"/>
        <w:jc w:val="both"/>
        <w:rPr>
          <w:rFonts w:asciiTheme="majorHAnsi" w:hAnsiTheme="majorHAnsi"/>
        </w:rPr>
      </w:pPr>
      <w:r w:rsidRPr="0096119B">
        <w:rPr>
          <w:rFonts w:asciiTheme="majorHAnsi" w:hAnsiTheme="majorHAnsi"/>
        </w:rPr>
        <w:t>BAA Polska Sp. z o.o.</w:t>
      </w:r>
    </w:p>
    <w:p w14:paraId="7888AA4C" w14:textId="77777777" w:rsidR="001E08E4" w:rsidRPr="0096119B" w:rsidRDefault="001E08E4" w:rsidP="001E08E4">
      <w:pPr>
        <w:pStyle w:val="Akapitzlist"/>
        <w:numPr>
          <w:ilvl w:val="0"/>
          <w:numId w:val="3"/>
        </w:numPr>
        <w:ind w:left="426" w:hanging="426"/>
        <w:jc w:val="both"/>
        <w:rPr>
          <w:rFonts w:asciiTheme="majorHAnsi" w:hAnsiTheme="majorHAnsi"/>
          <w:lang w:val="en-US"/>
        </w:rPr>
      </w:pPr>
      <w:r w:rsidRPr="0096119B">
        <w:rPr>
          <w:rFonts w:asciiTheme="majorHAnsi" w:hAnsiTheme="majorHAnsi"/>
          <w:lang w:val="en-US"/>
        </w:rPr>
        <w:t xml:space="preserve">Resource Partners Sp. z </w:t>
      </w:r>
      <w:proofErr w:type="spellStart"/>
      <w:r w:rsidRPr="0096119B">
        <w:rPr>
          <w:rFonts w:asciiTheme="majorHAnsi" w:hAnsiTheme="majorHAnsi"/>
          <w:lang w:val="en-US"/>
        </w:rPr>
        <w:t>o.o</w:t>
      </w:r>
      <w:proofErr w:type="spellEnd"/>
      <w:r w:rsidRPr="0096119B">
        <w:rPr>
          <w:rFonts w:asciiTheme="majorHAnsi" w:hAnsiTheme="majorHAnsi"/>
          <w:lang w:val="en-US"/>
        </w:rPr>
        <w:t>.</w:t>
      </w:r>
    </w:p>
    <w:p w14:paraId="221FD498" w14:textId="77777777" w:rsidR="001E08E4" w:rsidRPr="001E08E4" w:rsidRDefault="001E08E4" w:rsidP="00797E8C">
      <w:pPr>
        <w:jc w:val="both"/>
        <w:rPr>
          <w:rFonts w:asciiTheme="majorHAnsi" w:hAnsiTheme="majorHAnsi"/>
          <w:lang w:val="en-US"/>
        </w:rPr>
      </w:pPr>
      <w:bookmarkStart w:id="0" w:name="_GoBack"/>
      <w:bookmarkEnd w:id="0"/>
    </w:p>
    <w:sectPr w:rsidR="001E08E4" w:rsidRPr="001E08E4" w:rsidSect="00EC49DD">
      <w:headerReference w:type="default" r:id="rId12"/>
      <w:footerReference w:type="default" r:id="rId13"/>
      <w:pgSz w:w="11900" w:h="16840"/>
      <w:pgMar w:top="1417" w:right="1417" w:bottom="1276"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29115" w14:textId="77777777" w:rsidR="0018749B" w:rsidRDefault="0018749B" w:rsidP="00925216">
      <w:r>
        <w:separator/>
      </w:r>
    </w:p>
  </w:endnote>
  <w:endnote w:type="continuationSeparator" w:id="0">
    <w:p w14:paraId="09E75381" w14:textId="77777777" w:rsidR="0018749B" w:rsidRDefault="0018749B" w:rsidP="0092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yriad Pro">
    <w:charset w:val="00"/>
    <w:family w:val="auto"/>
    <w:pitch w:val="variable"/>
    <w:sig w:usb0="00000003" w:usb1="00000000" w:usb2="00000000" w:usb3="00000000" w:csb0="00000001" w:csb1="00000000"/>
  </w:font>
  <w:font w:name="Lato">
    <w:altName w:val="Arial"/>
    <w:panose1 w:val="020F0502020204030203"/>
    <w:charset w:val="EE"/>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A7BE" w14:textId="1628EDC8" w:rsidR="00B51419" w:rsidRPr="001B2892" w:rsidRDefault="00B51419">
    <w:pPr>
      <w:pStyle w:val="Stopka"/>
      <w:rPr>
        <w:rFonts w:ascii="Lato" w:hAnsi="Lato"/>
      </w:rPr>
    </w:pPr>
    <w:r w:rsidRPr="001B2892">
      <w:rPr>
        <w:rFonts w:ascii="Lato" w:hAnsi="Lato"/>
      </w:rPr>
      <w:t>www.efektywnetransakcje.pl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E0F08" w14:textId="77777777" w:rsidR="0018749B" w:rsidRDefault="0018749B" w:rsidP="00925216">
      <w:r>
        <w:separator/>
      </w:r>
    </w:p>
  </w:footnote>
  <w:footnote w:type="continuationSeparator" w:id="0">
    <w:p w14:paraId="7804D222" w14:textId="77777777" w:rsidR="0018749B" w:rsidRDefault="0018749B" w:rsidP="0092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4737" w14:textId="574AC5BF" w:rsidR="00B51419" w:rsidRPr="00925216" w:rsidRDefault="00B51419" w:rsidP="00925216">
    <w:pPr>
      <w:pStyle w:val="Nagwek"/>
      <w:ind w:hanging="1417"/>
    </w:pPr>
    <w:r>
      <w:rPr>
        <w:noProof/>
      </w:rPr>
      <w:drawing>
        <wp:inline distT="0" distB="0" distL="0" distR="0" wp14:anchorId="6317ED69" wp14:editId="649919D8">
          <wp:extent cx="7610475" cy="8582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933" cy="8704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6493"/>
    <w:multiLevelType w:val="hybridMultilevel"/>
    <w:tmpl w:val="67EA0880"/>
    <w:lvl w:ilvl="0" w:tplc="85FEF874">
      <w:start w:val="1"/>
      <w:numFmt w:val="bullet"/>
      <w:lvlText w:val=""/>
      <w:lvlJc w:val="left"/>
      <w:pPr>
        <w:tabs>
          <w:tab w:val="num" w:pos="720"/>
        </w:tabs>
        <w:ind w:left="720" w:hanging="360"/>
      </w:pPr>
      <w:rPr>
        <w:rFonts w:ascii="Wingdings" w:hAnsi="Wingdings" w:hint="default"/>
      </w:rPr>
    </w:lvl>
    <w:lvl w:ilvl="1" w:tplc="416AF910" w:tentative="1">
      <w:start w:val="1"/>
      <w:numFmt w:val="bullet"/>
      <w:lvlText w:val=""/>
      <w:lvlJc w:val="left"/>
      <w:pPr>
        <w:tabs>
          <w:tab w:val="num" w:pos="1440"/>
        </w:tabs>
        <w:ind w:left="1440" w:hanging="360"/>
      </w:pPr>
      <w:rPr>
        <w:rFonts w:ascii="Wingdings" w:hAnsi="Wingdings" w:hint="default"/>
      </w:rPr>
    </w:lvl>
    <w:lvl w:ilvl="2" w:tplc="5F943B3A" w:tentative="1">
      <w:start w:val="1"/>
      <w:numFmt w:val="bullet"/>
      <w:lvlText w:val=""/>
      <w:lvlJc w:val="left"/>
      <w:pPr>
        <w:tabs>
          <w:tab w:val="num" w:pos="2160"/>
        </w:tabs>
        <w:ind w:left="2160" w:hanging="360"/>
      </w:pPr>
      <w:rPr>
        <w:rFonts w:ascii="Wingdings" w:hAnsi="Wingdings" w:hint="default"/>
      </w:rPr>
    </w:lvl>
    <w:lvl w:ilvl="3" w:tplc="9312982A" w:tentative="1">
      <w:start w:val="1"/>
      <w:numFmt w:val="bullet"/>
      <w:lvlText w:val=""/>
      <w:lvlJc w:val="left"/>
      <w:pPr>
        <w:tabs>
          <w:tab w:val="num" w:pos="2880"/>
        </w:tabs>
        <w:ind w:left="2880" w:hanging="360"/>
      </w:pPr>
      <w:rPr>
        <w:rFonts w:ascii="Wingdings" w:hAnsi="Wingdings" w:hint="default"/>
      </w:rPr>
    </w:lvl>
    <w:lvl w:ilvl="4" w:tplc="2A5A13FC" w:tentative="1">
      <w:start w:val="1"/>
      <w:numFmt w:val="bullet"/>
      <w:lvlText w:val=""/>
      <w:lvlJc w:val="left"/>
      <w:pPr>
        <w:tabs>
          <w:tab w:val="num" w:pos="3600"/>
        </w:tabs>
        <w:ind w:left="3600" w:hanging="360"/>
      </w:pPr>
      <w:rPr>
        <w:rFonts w:ascii="Wingdings" w:hAnsi="Wingdings" w:hint="default"/>
      </w:rPr>
    </w:lvl>
    <w:lvl w:ilvl="5" w:tplc="F13652EC" w:tentative="1">
      <w:start w:val="1"/>
      <w:numFmt w:val="bullet"/>
      <w:lvlText w:val=""/>
      <w:lvlJc w:val="left"/>
      <w:pPr>
        <w:tabs>
          <w:tab w:val="num" w:pos="4320"/>
        </w:tabs>
        <w:ind w:left="4320" w:hanging="360"/>
      </w:pPr>
      <w:rPr>
        <w:rFonts w:ascii="Wingdings" w:hAnsi="Wingdings" w:hint="default"/>
      </w:rPr>
    </w:lvl>
    <w:lvl w:ilvl="6" w:tplc="A4B2CB8A" w:tentative="1">
      <w:start w:val="1"/>
      <w:numFmt w:val="bullet"/>
      <w:lvlText w:val=""/>
      <w:lvlJc w:val="left"/>
      <w:pPr>
        <w:tabs>
          <w:tab w:val="num" w:pos="5040"/>
        </w:tabs>
        <w:ind w:left="5040" w:hanging="360"/>
      </w:pPr>
      <w:rPr>
        <w:rFonts w:ascii="Wingdings" w:hAnsi="Wingdings" w:hint="default"/>
      </w:rPr>
    </w:lvl>
    <w:lvl w:ilvl="7" w:tplc="23FCC8EA" w:tentative="1">
      <w:start w:val="1"/>
      <w:numFmt w:val="bullet"/>
      <w:lvlText w:val=""/>
      <w:lvlJc w:val="left"/>
      <w:pPr>
        <w:tabs>
          <w:tab w:val="num" w:pos="5760"/>
        </w:tabs>
        <w:ind w:left="5760" w:hanging="360"/>
      </w:pPr>
      <w:rPr>
        <w:rFonts w:ascii="Wingdings" w:hAnsi="Wingdings" w:hint="default"/>
      </w:rPr>
    </w:lvl>
    <w:lvl w:ilvl="8" w:tplc="486A7D04" w:tentative="1">
      <w:start w:val="1"/>
      <w:numFmt w:val="bullet"/>
      <w:lvlText w:val=""/>
      <w:lvlJc w:val="left"/>
      <w:pPr>
        <w:tabs>
          <w:tab w:val="num" w:pos="6480"/>
        </w:tabs>
        <w:ind w:left="6480" w:hanging="360"/>
      </w:pPr>
      <w:rPr>
        <w:rFonts w:ascii="Wingdings" w:hAnsi="Wingdings" w:hint="default"/>
      </w:rPr>
    </w:lvl>
  </w:abstractNum>
  <w:abstractNum w:abstractNumId="1">
    <w:nsid w:val="200C2A19"/>
    <w:multiLevelType w:val="hybridMultilevel"/>
    <w:tmpl w:val="7B981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6A104E0"/>
    <w:multiLevelType w:val="hybridMultilevel"/>
    <w:tmpl w:val="4DB44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74"/>
    <w:rsid w:val="00090D3B"/>
    <w:rsid w:val="00106ED9"/>
    <w:rsid w:val="0018749B"/>
    <w:rsid w:val="001A78DC"/>
    <w:rsid w:val="001B2892"/>
    <w:rsid w:val="001D0157"/>
    <w:rsid w:val="001E08E4"/>
    <w:rsid w:val="0027393C"/>
    <w:rsid w:val="002B281D"/>
    <w:rsid w:val="002D0E3D"/>
    <w:rsid w:val="00326A62"/>
    <w:rsid w:val="00337197"/>
    <w:rsid w:val="003E0A97"/>
    <w:rsid w:val="00423D90"/>
    <w:rsid w:val="00445236"/>
    <w:rsid w:val="004835EA"/>
    <w:rsid w:val="004B1C18"/>
    <w:rsid w:val="004B51BA"/>
    <w:rsid w:val="00524C0E"/>
    <w:rsid w:val="00540F41"/>
    <w:rsid w:val="00553A94"/>
    <w:rsid w:val="00756CA8"/>
    <w:rsid w:val="00797E8C"/>
    <w:rsid w:val="007E01A0"/>
    <w:rsid w:val="008047B8"/>
    <w:rsid w:val="0085549E"/>
    <w:rsid w:val="008A1A16"/>
    <w:rsid w:val="008B53D0"/>
    <w:rsid w:val="008F0637"/>
    <w:rsid w:val="00925216"/>
    <w:rsid w:val="00950874"/>
    <w:rsid w:val="0096119B"/>
    <w:rsid w:val="0098078D"/>
    <w:rsid w:val="009A0932"/>
    <w:rsid w:val="009C0031"/>
    <w:rsid w:val="00A221F2"/>
    <w:rsid w:val="00A456D7"/>
    <w:rsid w:val="00B01398"/>
    <w:rsid w:val="00B279BC"/>
    <w:rsid w:val="00B4468D"/>
    <w:rsid w:val="00B51419"/>
    <w:rsid w:val="00B83B6F"/>
    <w:rsid w:val="00BA4478"/>
    <w:rsid w:val="00BB42FB"/>
    <w:rsid w:val="00C062B3"/>
    <w:rsid w:val="00C16A22"/>
    <w:rsid w:val="00C401B0"/>
    <w:rsid w:val="00C573C1"/>
    <w:rsid w:val="00CA0F02"/>
    <w:rsid w:val="00CC6D24"/>
    <w:rsid w:val="00CC75D8"/>
    <w:rsid w:val="00CE6F83"/>
    <w:rsid w:val="00D15335"/>
    <w:rsid w:val="00D15949"/>
    <w:rsid w:val="00DA4E3F"/>
    <w:rsid w:val="00E50516"/>
    <w:rsid w:val="00E70C6A"/>
    <w:rsid w:val="00E739A6"/>
    <w:rsid w:val="00EC49DD"/>
    <w:rsid w:val="00F15156"/>
    <w:rsid w:val="00FB755D"/>
    <w:rsid w:val="00FC6C0E"/>
    <w:rsid w:val="00FD4FC8"/>
    <w:rsid w:val="00FE15AA"/>
    <w:rsid w:val="00FF573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0A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156"/>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1A16"/>
    <w:pPr>
      <w:ind w:left="720"/>
      <w:contextualSpacing/>
    </w:pPr>
  </w:style>
  <w:style w:type="paragraph" w:styleId="NormalnyWeb">
    <w:name w:val="Normal (Web)"/>
    <w:basedOn w:val="Normalny"/>
    <w:uiPriority w:val="99"/>
    <w:semiHidden/>
    <w:unhideWhenUsed/>
    <w:rsid w:val="00FF5739"/>
    <w:pPr>
      <w:spacing w:before="100" w:beforeAutospacing="1" w:after="100" w:afterAutospacing="1"/>
    </w:pPr>
    <w:rPr>
      <w:rFonts w:ascii="Times" w:hAnsi="Times" w:cs="Times New Roman"/>
      <w:sz w:val="20"/>
      <w:szCs w:val="20"/>
      <w:lang w:val="cs-CZ"/>
    </w:rPr>
  </w:style>
  <w:style w:type="character" w:styleId="Hipercze">
    <w:name w:val="Hyperlink"/>
    <w:basedOn w:val="Domylnaczcionkaakapitu"/>
    <w:uiPriority w:val="99"/>
    <w:unhideWhenUsed/>
    <w:rsid w:val="00D15949"/>
    <w:rPr>
      <w:color w:val="0000FF" w:themeColor="hyperlink"/>
      <w:u w:val="single"/>
    </w:rPr>
  </w:style>
  <w:style w:type="paragraph" w:styleId="Nagwek">
    <w:name w:val="header"/>
    <w:basedOn w:val="Normalny"/>
    <w:link w:val="NagwekZnak"/>
    <w:uiPriority w:val="99"/>
    <w:unhideWhenUsed/>
    <w:rsid w:val="00925216"/>
    <w:pPr>
      <w:tabs>
        <w:tab w:val="center" w:pos="4536"/>
        <w:tab w:val="right" w:pos="9072"/>
      </w:tabs>
    </w:pPr>
  </w:style>
  <w:style w:type="character" w:customStyle="1" w:styleId="NagwekZnak">
    <w:name w:val="Nagłówek Znak"/>
    <w:basedOn w:val="Domylnaczcionkaakapitu"/>
    <w:link w:val="Nagwek"/>
    <w:uiPriority w:val="99"/>
    <w:rsid w:val="00925216"/>
    <w:rPr>
      <w:lang w:val="pl-PL"/>
    </w:rPr>
  </w:style>
  <w:style w:type="paragraph" w:styleId="Stopka">
    <w:name w:val="footer"/>
    <w:basedOn w:val="Normalny"/>
    <w:link w:val="StopkaZnak"/>
    <w:uiPriority w:val="99"/>
    <w:unhideWhenUsed/>
    <w:rsid w:val="00925216"/>
    <w:pPr>
      <w:tabs>
        <w:tab w:val="center" w:pos="4536"/>
        <w:tab w:val="right" w:pos="9072"/>
      </w:tabs>
    </w:pPr>
  </w:style>
  <w:style w:type="character" w:customStyle="1" w:styleId="StopkaZnak">
    <w:name w:val="Stopka Znak"/>
    <w:basedOn w:val="Domylnaczcionkaakapitu"/>
    <w:link w:val="Stopka"/>
    <w:uiPriority w:val="99"/>
    <w:rsid w:val="00925216"/>
    <w:rPr>
      <w:lang w:val="pl-PL"/>
    </w:rPr>
  </w:style>
  <w:style w:type="paragraph" w:styleId="Tekstdymka">
    <w:name w:val="Balloon Text"/>
    <w:basedOn w:val="Normalny"/>
    <w:link w:val="TekstdymkaZnak"/>
    <w:uiPriority w:val="99"/>
    <w:semiHidden/>
    <w:unhideWhenUsed/>
    <w:rsid w:val="00925216"/>
    <w:rPr>
      <w:rFonts w:ascii="Tahoma" w:hAnsi="Tahoma" w:cs="Tahoma"/>
      <w:sz w:val="16"/>
      <w:szCs w:val="16"/>
    </w:rPr>
  </w:style>
  <w:style w:type="character" w:customStyle="1" w:styleId="TekstdymkaZnak">
    <w:name w:val="Tekst dymka Znak"/>
    <w:basedOn w:val="Domylnaczcionkaakapitu"/>
    <w:link w:val="Tekstdymka"/>
    <w:uiPriority w:val="99"/>
    <w:semiHidden/>
    <w:rsid w:val="00925216"/>
    <w:rPr>
      <w:rFonts w:ascii="Tahoma" w:hAnsi="Tahoma" w:cs="Tahoma"/>
      <w:sz w:val="16"/>
      <w:szCs w:val="16"/>
      <w:lang w:val="pl-PL"/>
    </w:rPr>
  </w:style>
  <w:style w:type="character" w:styleId="Odwoaniedokomentarza">
    <w:name w:val="annotation reference"/>
    <w:basedOn w:val="Domylnaczcionkaakapitu"/>
    <w:uiPriority w:val="99"/>
    <w:semiHidden/>
    <w:unhideWhenUsed/>
    <w:rsid w:val="00B01398"/>
    <w:rPr>
      <w:sz w:val="16"/>
      <w:szCs w:val="16"/>
    </w:rPr>
  </w:style>
  <w:style w:type="paragraph" w:styleId="Tekstkomentarza">
    <w:name w:val="annotation text"/>
    <w:basedOn w:val="Normalny"/>
    <w:link w:val="TekstkomentarzaZnak"/>
    <w:uiPriority w:val="99"/>
    <w:semiHidden/>
    <w:unhideWhenUsed/>
    <w:rsid w:val="00B01398"/>
    <w:rPr>
      <w:sz w:val="20"/>
      <w:szCs w:val="20"/>
    </w:rPr>
  </w:style>
  <w:style w:type="character" w:customStyle="1" w:styleId="TekstkomentarzaZnak">
    <w:name w:val="Tekst komentarza Znak"/>
    <w:basedOn w:val="Domylnaczcionkaakapitu"/>
    <w:link w:val="Tekstkomentarza"/>
    <w:uiPriority w:val="99"/>
    <w:semiHidden/>
    <w:rsid w:val="00B01398"/>
    <w:rPr>
      <w:sz w:val="20"/>
      <w:szCs w:val="20"/>
      <w:lang w:val="pl-PL"/>
    </w:rPr>
  </w:style>
  <w:style w:type="paragraph" w:styleId="Tematkomentarza">
    <w:name w:val="annotation subject"/>
    <w:basedOn w:val="Tekstkomentarza"/>
    <w:next w:val="Tekstkomentarza"/>
    <w:link w:val="TematkomentarzaZnak"/>
    <w:uiPriority w:val="99"/>
    <w:semiHidden/>
    <w:unhideWhenUsed/>
    <w:rsid w:val="00B01398"/>
    <w:rPr>
      <w:b/>
      <w:bCs/>
    </w:rPr>
  </w:style>
  <w:style w:type="character" w:customStyle="1" w:styleId="TematkomentarzaZnak">
    <w:name w:val="Temat komentarza Znak"/>
    <w:basedOn w:val="TekstkomentarzaZnak"/>
    <w:link w:val="Tematkomentarza"/>
    <w:uiPriority w:val="99"/>
    <w:semiHidden/>
    <w:rsid w:val="00B01398"/>
    <w:rPr>
      <w:b/>
      <w:bCs/>
      <w:sz w:val="20"/>
      <w:szCs w:val="20"/>
      <w:lang w:val="pl-PL"/>
    </w:rPr>
  </w:style>
  <w:style w:type="character" w:styleId="UyteHipercze">
    <w:name w:val="FollowedHyperlink"/>
    <w:basedOn w:val="Domylnaczcionkaakapitu"/>
    <w:uiPriority w:val="99"/>
    <w:semiHidden/>
    <w:unhideWhenUsed/>
    <w:rsid w:val="008B53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156"/>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1A16"/>
    <w:pPr>
      <w:ind w:left="720"/>
      <w:contextualSpacing/>
    </w:pPr>
  </w:style>
  <w:style w:type="paragraph" w:styleId="NormalnyWeb">
    <w:name w:val="Normal (Web)"/>
    <w:basedOn w:val="Normalny"/>
    <w:uiPriority w:val="99"/>
    <w:semiHidden/>
    <w:unhideWhenUsed/>
    <w:rsid w:val="00FF5739"/>
    <w:pPr>
      <w:spacing w:before="100" w:beforeAutospacing="1" w:after="100" w:afterAutospacing="1"/>
    </w:pPr>
    <w:rPr>
      <w:rFonts w:ascii="Times" w:hAnsi="Times" w:cs="Times New Roman"/>
      <w:sz w:val="20"/>
      <w:szCs w:val="20"/>
      <w:lang w:val="cs-CZ"/>
    </w:rPr>
  </w:style>
  <w:style w:type="character" w:styleId="Hipercze">
    <w:name w:val="Hyperlink"/>
    <w:basedOn w:val="Domylnaczcionkaakapitu"/>
    <w:uiPriority w:val="99"/>
    <w:unhideWhenUsed/>
    <w:rsid w:val="00D15949"/>
    <w:rPr>
      <w:color w:val="0000FF" w:themeColor="hyperlink"/>
      <w:u w:val="single"/>
    </w:rPr>
  </w:style>
  <w:style w:type="paragraph" w:styleId="Nagwek">
    <w:name w:val="header"/>
    <w:basedOn w:val="Normalny"/>
    <w:link w:val="NagwekZnak"/>
    <w:uiPriority w:val="99"/>
    <w:unhideWhenUsed/>
    <w:rsid w:val="00925216"/>
    <w:pPr>
      <w:tabs>
        <w:tab w:val="center" w:pos="4536"/>
        <w:tab w:val="right" w:pos="9072"/>
      </w:tabs>
    </w:pPr>
  </w:style>
  <w:style w:type="character" w:customStyle="1" w:styleId="NagwekZnak">
    <w:name w:val="Nagłówek Znak"/>
    <w:basedOn w:val="Domylnaczcionkaakapitu"/>
    <w:link w:val="Nagwek"/>
    <w:uiPriority w:val="99"/>
    <w:rsid w:val="00925216"/>
    <w:rPr>
      <w:lang w:val="pl-PL"/>
    </w:rPr>
  </w:style>
  <w:style w:type="paragraph" w:styleId="Stopka">
    <w:name w:val="footer"/>
    <w:basedOn w:val="Normalny"/>
    <w:link w:val="StopkaZnak"/>
    <w:uiPriority w:val="99"/>
    <w:unhideWhenUsed/>
    <w:rsid w:val="00925216"/>
    <w:pPr>
      <w:tabs>
        <w:tab w:val="center" w:pos="4536"/>
        <w:tab w:val="right" w:pos="9072"/>
      </w:tabs>
    </w:pPr>
  </w:style>
  <w:style w:type="character" w:customStyle="1" w:styleId="StopkaZnak">
    <w:name w:val="Stopka Znak"/>
    <w:basedOn w:val="Domylnaczcionkaakapitu"/>
    <w:link w:val="Stopka"/>
    <w:uiPriority w:val="99"/>
    <w:rsid w:val="00925216"/>
    <w:rPr>
      <w:lang w:val="pl-PL"/>
    </w:rPr>
  </w:style>
  <w:style w:type="paragraph" w:styleId="Tekstdymka">
    <w:name w:val="Balloon Text"/>
    <w:basedOn w:val="Normalny"/>
    <w:link w:val="TekstdymkaZnak"/>
    <w:uiPriority w:val="99"/>
    <w:semiHidden/>
    <w:unhideWhenUsed/>
    <w:rsid w:val="00925216"/>
    <w:rPr>
      <w:rFonts w:ascii="Tahoma" w:hAnsi="Tahoma" w:cs="Tahoma"/>
      <w:sz w:val="16"/>
      <w:szCs w:val="16"/>
    </w:rPr>
  </w:style>
  <w:style w:type="character" w:customStyle="1" w:styleId="TekstdymkaZnak">
    <w:name w:val="Tekst dymka Znak"/>
    <w:basedOn w:val="Domylnaczcionkaakapitu"/>
    <w:link w:val="Tekstdymka"/>
    <w:uiPriority w:val="99"/>
    <w:semiHidden/>
    <w:rsid w:val="00925216"/>
    <w:rPr>
      <w:rFonts w:ascii="Tahoma" w:hAnsi="Tahoma" w:cs="Tahoma"/>
      <w:sz w:val="16"/>
      <w:szCs w:val="16"/>
      <w:lang w:val="pl-PL"/>
    </w:rPr>
  </w:style>
  <w:style w:type="character" w:styleId="Odwoaniedokomentarza">
    <w:name w:val="annotation reference"/>
    <w:basedOn w:val="Domylnaczcionkaakapitu"/>
    <w:uiPriority w:val="99"/>
    <w:semiHidden/>
    <w:unhideWhenUsed/>
    <w:rsid w:val="00B01398"/>
    <w:rPr>
      <w:sz w:val="16"/>
      <w:szCs w:val="16"/>
    </w:rPr>
  </w:style>
  <w:style w:type="paragraph" w:styleId="Tekstkomentarza">
    <w:name w:val="annotation text"/>
    <w:basedOn w:val="Normalny"/>
    <w:link w:val="TekstkomentarzaZnak"/>
    <w:uiPriority w:val="99"/>
    <w:semiHidden/>
    <w:unhideWhenUsed/>
    <w:rsid w:val="00B01398"/>
    <w:rPr>
      <w:sz w:val="20"/>
      <w:szCs w:val="20"/>
    </w:rPr>
  </w:style>
  <w:style w:type="character" w:customStyle="1" w:styleId="TekstkomentarzaZnak">
    <w:name w:val="Tekst komentarza Znak"/>
    <w:basedOn w:val="Domylnaczcionkaakapitu"/>
    <w:link w:val="Tekstkomentarza"/>
    <w:uiPriority w:val="99"/>
    <w:semiHidden/>
    <w:rsid w:val="00B01398"/>
    <w:rPr>
      <w:sz w:val="20"/>
      <w:szCs w:val="20"/>
      <w:lang w:val="pl-PL"/>
    </w:rPr>
  </w:style>
  <w:style w:type="paragraph" w:styleId="Tematkomentarza">
    <w:name w:val="annotation subject"/>
    <w:basedOn w:val="Tekstkomentarza"/>
    <w:next w:val="Tekstkomentarza"/>
    <w:link w:val="TematkomentarzaZnak"/>
    <w:uiPriority w:val="99"/>
    <w:semiHidden/>
    <w:unhideWhenUsed/>
    <w:rsid w:val="00B01398"/>
    <w:rPr>
      <w:b/>
      <w:bCs/>
    </w:rPr>
  </w:style>
  <w:style w:type="character" w:customStyle="1" w:styleId="TematkomentarzaZnak">
    <w:name w:val="Temat komentarza Znak"/>
    <w:basedOn w:val="TekstkomentarzaZnak"/>
    <w:link w:val="Tematkomentarza"/>
    <w:uiPriority w:val="99"/>
    <w:semiHidden/>
    <w:rsid w:val="00B01398"/>
    <w:rPr>
      <w:b/>
      <w:bCs/>
      <w:sz w:val="20"/>
      <w:szCs w:val="20"/>
      <w:lang w:val="pl-PL"/>
    </w:rPr>
  </w:style>
  <w:style w:type="character" w:styleId="UyteHipercze">
    <w:name w:val="FollowedHyperlink"/>
    <w:basedOn w:val="Domylnaczcionkaakapitu"/>
    <w:uiPriority w:val="99"/>
    <w:semiHidden/>
    <w:unhideWhenUsed/>
    <w:rsid w:val="008B5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589">
      <w:bodyDiv w:val="1"/>
      <w:marLeft w:val="0"/>
      <w:marRight w:val="0"/>
      <w:marTop w:val="0"/>
      <w:marBottom w:val="0"/>
      <w:divBdr>
        <w:top w:val="none" w:sz="0" w:space="0" w:color="auto"/>
        <w:left w:val="none" w:sz="0" w:space="0" w:color="auto"/>
        <w:bottom w:val="none" w:sz="0" w:space="0" w:color="auto"/>
        <w:right w:val="none" w:sz="0" w:space="0" w:color="auto"/>
      </w:divBdr>
    </w:div>
    <w:div w:id="332491629">
      <w:bodyDiv w:val="1"/>
      <w:marLeft w:val="0"/>
      <w:marRight w:val="0"/>
      <w:marTop w:val="0"/>
      <w:marBottom w:val="0"/>
      <w:divBdr>
        <w:top w:val="none" w:sz="0" w:space="0" w:color="auto"/>
        <w:left w:val="none" w:sz="0" w:space="0" w:color="auto"/>
        <w:bottom w:val="none" w:sz="0" w:space="0" w:color="auto"/>
        <w:right w:val="none" w:sz="0" w:space="0" w:color="auto"/>
      </w:divBdr>
    </w:div>
    <w:div w:id="1849365469">
      <w:bodyDiv w:val="1"/>
      <w:marLeft w:val="0"/>
      <w:marRight w:val="0"/>
      <w:marTop w:val="0"/>
      <w:marBottom w:val="0"/>
      <w:divBdr>
        <w:top w:val="none" w:sz="0" w:space="0" w:color="auto"/>
        <w:left w:val="none" w:sz="0" w:space="0" w:color="auto"/>
        <w:bottom w:val="none" w:sz="0" w:space="0" w:color="auto"/>
        <w:right w:val="none" w:sz="0" w:space="0" w:color="auto"/>
      </w:divBdr>
      <w:divsChild>
        <w:div w:id="47684388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fektywnetransakcj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eata.milewicz@efektywnetransakcje.pl" TargetMode="External"/><Relationship Id="rId4" Type="http://schemas.microsoft.com/office/2007/relationships/stylesWithEffects" Target="stylesWithEffects.xml"/><Relationship Id="rId9" Type="http://schemas.openxmlformats.org/officeDocument/2006/relationships/hyperlink" Target="http://efektywnetransakcje.pl/wp-content/uploads/2015/07/Agenda_Konferencja_For_better_data_flow_8.10.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1EFA-F85B-45C5-B5AC-A090FC88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5209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Secret Services PR</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Milewicz</dc:creator>
  <cp:lastModifiedBy>joanna.ratajczak</cp:lastModifiedBy>
  <cp:revision>3</cp:revision>
  <cp:lastPrinted>2015-10-01T14:15:00Z</cp:lastPrinted>
  <dcterms:created xsi:type="dcterms:W3CDTF">2015-10-01T14:15:00Z</dcterms:created>
  <dcterms:modified xsi:type="dcterms:W3CDTF">2015-10-01T14:15:00Z</dcterms:modified>
</cp:coreProperties>
</file>