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8F36" w14:textId="77777777" w:rsidR="00F15156" w:rsidRPr="00524C0E" w:rsidRDefault="00F15156" w:rsidP="00F15156">
      <w:pPr>
        <w:rPr>
          <w:rFonts w:asciiTheme="majorHAnsi" w:hAnsiTheme="majorHAnsi"/>
          <w:b/>
        </w:rPr>
      </w:pPr>
    </w:p>
    <w:p w14:paraId="70DEB313" w14:textId="77777777" w:rsidR="00F15156" w:rsidRPr="00524C0E" w:rsidRDefault="00F15156" w:rsidP="00F15156">
      <w:pPr>
        <w:rPr>
          <w:rFonts w:asciiTheme="majorHAnsi" w:hAnsiTheme="majorHAnsi"/>
          <w:b/>
        </w:rPr>
      </w:pPr>
    </w:p>
    <w:p w14:paraId="2A88E367" w14:textId="0BF2EDEA" w:rsidR="00F15156" w:rsidRPr="00524C0E" w:rsidRDefault="00F15156" w:rsidP="00F1515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Warszawa, dn. </w:t>
      </w:r>
      <w:r w:rsidR="00316CD0">
        <w:rPr>
          <w:rFonts w:asciiTheme="majorHAnsi" w:hAnsiTheme="majorHAnsi"/>
        </w:rPr>
        <w:t>2</w:t>
      </w:r>
      <w:r w:rsidR="008D4B9F">
        <w:rPr>
          <w:rFonts w:asciiTheme="majorHAnsi" w:hAnsiTheme="majorHAnsi"/>
        </w:rPr>
        <w:t>2</w:t>
      </w:r>
      <w:r>
        <w:rPr>
          <w:rFonts w:asciiTheme="majorHAnsi" w:hAnsiTheme="majorHAnsi"/>
        </w:rPr>
        <w:t>.09.</w:t>
      </w:r>
      <w:r w:rsidRPr="00524C0E">
        <w:rPr>
          <w:rFonts w:asciiTheme="majorHAnsi" w:hAnsiTheme="majorHAnsi"/>
        </w:rPr>
        <w:t>2015 r.</w:t>
      </w:r>
    </w:p>
    <w:p w14:paraId="6088B7DD" w14:textId="77777777" w:rsidR="00F15156" w:rsidRDefault="00F15156" w:rsidP="00F15156">
      <w:pPr>
        <w:rPr>
          <w:rFonts w:asciiTheme="majorHAnsi" w:hAnsiTheme="majorHAnsi"/>
        </w:rPr>
      </w:pPr>
    </w:p>
    <w:p w14:paraId="7ADF97AA" w14:textId="77777777" w:rsidR="00765210" w:rsidRDefault="00765210" w:rsidP="00F15156">
      <w:pPr>
        <w:rPr>
          <w:rFonts w:asciiTheme="majorHAnsi" w:hAnsiTheme="majorHAnsi"/>
        </w:rPr>
      </w:pPr>
    </w:p>
    <w:p w14:paraId="6ECA5123" w14:textId="77777777" w:rsidR="00765210" w:rsidRPr="00524C0E" w:rsidRDefault="00765210" w:rsidP="00F15156">
      <w:pPr>
        <w:rPr>
          <w:rFonts w:asciiTheme="majorHAnsi" w:hAnsiTheme="majorHAnsi"/>
        </w:rPr>
      </w:pPr>
    </w:p>
    <w:p w14:paraId="78028421" w14:textId="77777777" w:rsidR="00F15156" w:rsidRDefault="00F15156" w:rsidP="00F15156">
      <w:pPr>
        <w:rPr>
          <w:rFonts w:asciiTheme="majorHAnsi" w:hAnsiTheme="majorHAnsi"/>
          <w:b/>
        </w:rPr>
      </w:pPr>
    </w:p>
    <w:p w14:paraId="0B957F63" w14:textId="51AD4E9E" w:rsidR="0096119B" w:rsidRDefault="008D4B9F" w:rsidP="00F151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</w:rPr>
        <w:t xml:space="preserve">Dwa spotkania robocze Rady Programowej </w:t>
      </w:r>
      <w:r w:rsidR="003455F7">
        <w:rPr>
          <w:rFonts w:asciiTheme="majorHAnsi" w:hAnsiTheme="majorHAnsi"/>
          <w:b/>
          <w:sz w:val="32"/>
        </w:rPr>
        <w:t xml:space="preserve">kampanii </w:t>
      </w:r>
      <w:r>
        <w:rPr>
          <w:rFonts w:asciiTheme="majorHAnsi" w:hAnsiTheme="majorHAnsi"/>
          <w:b/>
          <w:sz w:val="32"/>
        </w:rPr>
        <w:t>za nami</w:t>
      </w:r>
    </w:p>
    <w:p w14:paraId="0144BFDA" w14:textId="77777777" w:rsidR="0096119B" w:rsidRDefault="0096119B" w:rsidP="00F15156">
      <w:pPr>
        <w:rPr>
          <w:rFonts w:asciiTheme="majorHAnsi" w:hAnsiTheme="majorHAnsi"/>
          <w:b/>
        </w:rPr>
      </w:pPr>
    </w:p>
    <w:p w14:paraId="769B8047" w14:textId="77777777" w:rsidR="0096119B" w:rsidRPr="00524C0E" w:rsidRDefault="0096119B" w:rsidP="00F15156">
      <w:pPr>
        <w:rPr>
          <w:rFonts w:asciiTheme="majorHAnsi" w:hAnsiTheme="majorHAnsi"/>
          <w:b/>
        </w:rPr>
      </w:pPr>
    </w:p>
    <w:p w14:paraId="1393E6F1" w14:textId="01383C16" w:rsidR="00F15156" w:rsidRPr="00731D3E" w:rsidRDefault="00F15156" w:rsidP="00C573C1">
      <w:pPr>
        <w:jc w:val="both"/>
        <w:rPr>
          <w:rFonts w:asciiTheme="majorHAnsi" w:hAnsiTheme="majorHAnsi"/>
          <w:b/>
          <w:sz w:val="28"/>
          <w:szCs w:val="28"/>
        </w:rPr>
      </w:pPr>
      <w:r w:rsidRPr="00731D3E">
        <w:rPr>
          <w:rFonts w:asciiTheme="majorHAnsi" w:hAnsiTheme="majorHAnsi"/>
          <w:b/>
          <w:sz w:val="28"/>
          <w:szCs w:val="28"/>
        </w:rPr>
        <w:t>Rada Programowa kampanii edukacyjnej pt. „For better data flow – praktykuj efektywne transakcje”</w:t>
      </w:r>
      <w:r w:rsidR="00FD4FC8">
        <w:rPr>
          <w:rFonts w:asciiTheme="majorHAnsi" w:hAnsiTheme="majorHAnsi"/>
          <w:b/>
          <w:sz w:val="28"/>
          <w:szCs w:val="28"/>
        </w:rPr>
        <w:t xml:space="preserve"> </w:t>
      </w:r>
      <w:r w:rsidR="00316CD0">
        <w:rPr>
          <w:rFonts w:asciiTheme="majorHAnsi" w:hAnsiTheme="majorHAnsi"/>
          <w:b/>
          <w:sz w:val="28"/>
          <w:szCs w:val="28"/>
        </w:rPr>
        <w:t xml:space="preserve">zakończyła </w:t>
      </w:r>
      <w:r w:rsidR="008D4B9F">
        <w:rPr>
          <w:rFonts w:asciiTheme="majorHAnsi" w:hAnsiTheme="majorHAnsi"/>
          <w:b/>
          <w:sz w:val="28"/>
          <w:szCs w:val="28"/>
        </w:rPr>
        <w:t xml:space="preserve">cykl spotkań roboczych, których celem było wypracowanie wspólnych </w:t>
      </w:r>
      <w:r w:rsidR="00316CD0">
        <w:rPr>
          <w:rFonts w:asciiTheme="majorHAnsi" w:hAnsiTheme="majorHAnsi"/>
          <w:b/>
          <w:sz w:val="28"/>
          <w:szCs w:val="28"/>
        </w:rPr>
        <w:t xml:space="preserve">rekomendacji </w:t>
      </w:r>
      <w:r w:rsidR="00CD6AD9">
        <w:rPr>
          <w:rFonts w:asciiTheme="majorHAnsi" w:hAnsiTheme="majorHAnsi"/>
          <w:b/>
          <w:sz w:val="28"/>
          <w:szCs w:val="28"/>
        </w:rPr>
        <w:t xml:space="preserve">do </w:t>
      </w:r>
      <w:r>
        <w:rPr>
          <w:rFonts w:asciiTheme="majorHAnsi" w:hAnsiTheme="majorHAnsi"/>
          <w:b/>
          <w:sz w:val="28"/>
          <w:szCs w:val="28"/>
        </w:rPr>
        <w:t>Kodeksu</w:t>
      </w:r>
      <w:r w:rsidRPr="00731D3E">
        <w:rPr>
          <w:rFonts w:asciiTheme="majorHAnsi" w:hAnsiTheme="majorHAnsi"/>
          <w:b/>
          <w:sz w:val="28"/>
          <w:szCs w:val="28"/>
        </w:rPr>
        <w:t xml:space="preserve"> Dobrych Praktyk Transakcyjnych</w:t>
      </w:r>
      <w:r w:rsidR="00CA0F02">
        <w:rPr>
          <w:rFonts w:asciiTheme="majorHAnsi" w:hAnsiTheme="majorHAnsi"/>
          <w:b/>
          <w:sz w:val="28"/>
          <w:szCs w:val="28"/>
        </w:rPr>
        <w:t xml:space="preserve">. </w:t>
      </w:r>
      <w:r w:rsidR="00316CD0">
        <w:rPr>
          <w:rFonts w:asciiTheme="majorHAnsi" w:hAnsiTheme="majorHAnsi"/>
          <w:b/>
          <w:sz w:val="28"/>
          <w:szCs w:val="28"/>
        </w:rPr>
        <w:t xml:space="preserve">Już 8. października w Warszawie </w:t>
      </w:r>
      <w:r w:rsidR="00CD6AD9">
        <w:rPr>
          <w:rFonts w:asciiTheme="majorHAnsi" w:hAnsiTheme="majorHAnsi"/>
          <w:b/>
          <w:sz w:val="28"/>
          <w:szCs w:val="28"/>
        </w:rPr>
        <w:t xml:space="preserve">odbędzie się </w:t>
      </w:r>
      <w:r w:rsidR="00316CD0">
        <w:rPr>
          <w:rFonts w:asciiTheme="majorHAnsi" w:hAnsiTheme="majorHAnsi"/>
          <w:b/>
          <w:sz w:val="28"/>
          <w:szCs w:val="28"/>
        </w:rPr>
        <w:t>k</w:t>
      </w:r>
      <w:r w:rsidR="002D0E3D">
        <w:rPr>
          <w:rFonts w:asciiTheme="majorHAnsi" w:hAnsiTheme="majorHAnsi"/>
          <w:b/>
          <w:sz w:val="28"/>
          <w:szCs w:val="28"/>
        </w:rPr>
        <w:t xml:space="preserve">onferencja otwarta dla </w:t>
      </w:r>
      <w:r w:rsidR="0098078D">
        <w:rPr>
          <w:rFonts w:asciiTheme="majorHAnsi" w:hAnsiTheme="majorHAnsi"/>
          <w:b/>
          <w:sz w:val="28"/>
          <w:szCs w:val="28"/>
        </w:rPr>
        <w:t>wszystkich zainteresowanych rozwojem rynku transakcyjnego</w:t>
      </w:r>
      <w:r w:rsidR="00C573C1">
        <w:rPr>
          <w:rFonts w:asciiTheme="majorHAnsi" w:hAnsiTheme="majorHAnsi"/>
          <w:b/>
          <w:sz w:val="28"/>
          <w:szCs w:val="28"/>
        </w:rPr>
        <w:t>.</w:t>
      </w:r>
    </w:p>
    <w:p w14:paraId="2C0F7641" w14:textId="77777777" w:rsidR="00F15156" w:rsidRPr="00524C0E" w:rsidRDefault="00F15156" w:rsidP="00F15156">
      <w:pPr>
        <w:rPr>
          <w:rFonts w:asciiTheme="majorHAnsi" w:hAnsiTheme="majorHAnsi"/>
          <w:b/>
        </w:rPr>
      </w:pPr>
    </w:p>
    <w:p w14:paraId="0ED4AE65" w14:textId="77777777" w:rsidR="00CC6D24" w:rsidRPr="00CC6D24" w:rsidRDefault="00CC6D24" w:rsidP="00F15156">
      <w:pPr>
        <w:rPr>
          <w:rFonts w:asciiTheme="majorHAnsi" w:hAnsiTheme="majorHAnsi" w:cs="Myriad Pro"/>
        </w:rPr>
      </w:pPr>
    </w:p>
    <w:p w14:paraId="00ADD706" w14:textId="77777777" w:rsidR="003455F7" w:rsidRDefault="00316CD0" w:rsidP="00C573C1">
      <w:pPr>
        <w:jc w:val="both"/>
        <w:rPr>
          <w:rFonts w:asciiTheme="majorHAnsi" w:hAnsiTheme="majorHAnsi" w:cs="Myriad Pro"/>
        </w:rPr>
      </w:pPr>
      <w:r>
        <w:rPr>
          <w:rFonts w:asciiTheme="majorHAnsi" w:hAnsiTheme="majorHAnsi" w:cs="Myriad Pro"/>
        </w:rPr>
        <w:t xml:space="preserve">Dwa spotkania robocze Rady Programowej kampanii edukacyjnej „For better data flow – praktykuj efektywne transakcje” </w:t>
      </w:r>
      <w:r w:rsidR="008D4B9F">
        <w:rPr>
          <w:rFonts w:asciiTheme="majorHAnsi" w:hAnsiTheme="majorHAnsi" w:cs="Myriad Pro"/>
        </w:rPr>
        <w:t xml:space="preserve">za nami. Podczas </w:t>
      </w:r>
      <w:r w:rsidR="003455F7">
        <w:rPr>
          <w:rFonts w:asciiTheme="majorHAnsi" w:hAnsiTheme="majorHAnsi" w:cs="Myriad Pro"/>
        </w:rPr>
        <w:t xml:space="preserve">wspólnych obrad, </w:t>
      </w:r>
      <w:r w:rsidR="008D4B9F">
        <w:rPr>
          <w:rFonts w:asciiTheme="majorHAnsi" w:hAnsiTheme="majorHAnsi" w:cs="Myriad Pro"/>
        </w:rPr>
        <w:t>eksperci Rady Programowej w</w:t>
      </w:r>
      <w:r w:rsidR="003455F7">
        <w:rPr>
          <w:rFonts w:asciiTheme="majorHAnsi" w:hAnsiTheme="majorHAnsi" w:cs="Myriad Pro"/>
        </w:rPr>
        <w:t>ypracowali</w:t>
      </w:r>
      <w:r w:rsidR="008D4B9F">
        <w:rPr>
          <w:rFonts w:asciiTheme="majorHAnsi" w:hAnsiTheme="majorHAnsi" w:cs="Myriad Pro"/>
        </w:rPr>
        <w:t xml:space="preserve"> draft </w:t>
      </w:r>
      <w:r w:rsidR="001D48BF">
        <w:rPr>
          <w:rFonts w:asciiTheme="majorHAnsi" w:hAnsiTheme="majorHAnsi" w:cs="Myriad Pro"/>
        </w:rPr>
        <w:t>Kodeksu</w:t>
      </w:r>
      <w:r w:rsidR="008D4B9F">
        <w:rPr>
          <w:rFonts w:asciiTheme="majorHAnsi" w:hAnsiTheme="majorHAnsi" w:cs="Myriad Pro"/>
        </w:rPr>
        <w:t xml:space="preserve"> Dobrych Praktyk Transakcyjnych</w:t>
      </w:r>
      <w:r w:rsidR="001D48BF">
        <w:rPr>
          <w:rFonts w:asciiTheme="majorHAnsi" w:hAnsiTheme="majorHAnsi" w:cs="Myriad Pro"/>
        </w:rPr>
        <w:t xml:space="preserve">. </w:t>
      </w:r>
      <w:r>
        <w:rPr>
          <w:rFonts w:asciiTheme="majorHAnsi" w:hAnsiTheme="majorHAnsi" w:cs="Myriad Pro"/>
        </w:rPr>
        <w:t xml:space="preserve">Trwa przygotowanie finalnego zbioru </w:t>
      </w:r>
      <w:r w:rsidR="008D4B9F">
        <w:rPr>
          <w:rFonts w:asciiTheme="majorHAnsi" w:hAnsiTheme="majorHAnsi" w:cs="Myriad Pro"/>
        </w:rPr>
        <w:t>rekomendacji dobrych p</w:t>
      </w:r>
      <w:r w:rsidRPr="00316CD0">
        <w:rPr>
          <w:rFonts w:asciiTheme="majorHAnsi" w:hAnsiTheme="majorHAnsi" w:cs="Myriad Pro"/>
        </w:rPr>
        <w:t>raktyk, tych najbardziej praktycznych i uniwersalnych dla każdego procesu transakcyjnego.</w:t>
      </w:r>
      <w:r w:rsidR="008D4B9F" w:rsidRPr="008D4B9F">
        <w:rPr>
          <w:rFonts w:asciiTheme="majorHAnsi" w:hAnsiTheme="majorHAnsi" w:cs="Myriad Pro"/>
        </w:rPr>
        <w:t xml:space="preserve"> </w:t>
      </w:r>
    </w:p>
    <w:p w14:paraId="3B5BF5D8" w14:textId="77777777" w:rsidR="003455F7" w:rsidRDefault="003455F7" w:rsidP="00C573C1">
      <w:pPr>
        <w:jc w:val="both"/>
        <w:rPr>
          <w:rFonts w:asciiTheme="majorHAnsi" w:hAnsiTheme="majorHAnsi" w:cs="Myriad Pro"/>
        </w:rPr>
      </w:pPr>
    </w:p>
    <w:p w14:paraId="4330B685" w14:textId="5FBFD7B9" w:rsidR="004830AD" w:rsidRPr="00CD6AD9" w:rsidRDefault="004830AD" w:rsidP="004830A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i/>
        </w:rPr>
      </w:pPr>
      <w:r w:rsidRPr="00C401B0">
        <w:rPr>
          <w:rFonts w:asciiTheme="majorHAnsi" w:hAnsiTheme="majorHAnsi" w:cs="Myriad Pro"/>
          <w:i/>
        </w:rPr>
        <w:t xml:space="preserve">- </w:t>
      </w:r>
      <w:r>
        <w:rPr>
          <w:rFonts w:asciiTheme="majorHAnsi" w:hAnsiTheme="majorHAnsi" w:cs="Myriad Pro"/>
          <w:i/>
        </w:rPr>
        <w:t xml:space="preserve">Jestem pełna podziwu dla </w:t>
      </w:r>
      <w:r w:rsidRPr="00CD6AD9">
        <w:rPr>
          <w:rFonts w:asciiTheme="majorHAnsi" w:hAnsiTheme="majorHAnsi" w:cs="Myriad Pro"/>
          <w:i/>
        </w:rPr>
        <w:t>zaangażowani</w:t>
      </w:r>
      <w:r>
        <w:rPr>
          <w:rFonts w:asciiTheme="majorHAnsi" w:hAnsiTheme="majorHAnsi" w:cs="Myriad Pro"/>
          <w:i/>
        </w:rPr>
        <w:t xml:space="preserve">a </w:t>
      </w:r>
      <w:r w:rsidR="001D48BF">
        <w:rPr>
          <w:rFonts w:asciiTheme="majorHAnsi" w:hAnsiTheme="majorHAnsi" w:cs="Myriad Pro"/>
          <w:i/>
        </w:rPr>
        <w:t xml:space="preserve">i aktywności członków Rady Programowej i jako inicjator kampanii wierzę, iż Kodeks będzie cennym źródłem dobrych praktyk </w:t>
      </w:r>
      <w:r w:rsidR="001D48BF" w:rsidRPr="001D48BF">
        <w:rPr>
          <w:rFonts w:asciiTheme="majorHAnsi" w:hAnsiTheme="majorHAnsi" w:cs="Myriad Pro"/>
          <w:i/>
        </w:rPr>
        <w:t>stosowanych podczas realizacji procesów transakcyjnych</w:t>
      </w:r>
      <w:r>
        <w:rPr>
          <w:rFonts w:asciiTheme="majorHAnsi" w:hAnsiTheme="majorHAnsi" w:cs="Myriad Pro"/>
          <w:i/>
        </w:rPr>
        <w:t xml:space="preserve">. </w:t>
      </w:r>
      <w:r>
        <w:rPr>
          <w:rFonts w:asciiTheme="majorHAnsi" w:hAnsiTheme="majorHAnsi" w:cs="Myriad Pro"/>
        </w:rPr>
        <w:t xml:space="preserve">- </w:t>
      </w:r>
      <w:r w:rsidRPr="0096119B">
        <w:rPr>
          <w:rFonts w:asciiTheme="majorHAnsi" w:hAnsiTheme="majorHAnsi" w:cs="Myriad Pro"/>
          <w:b/>
        </w:rPr>
        <w:t>powiedziała Aleksandra Porębska z FORDATA,</w:t>
      </w:r>
      <w:r>
        <w:rPr>
          <w:rFonts w:asciiTheme="majorHAnsi" w:hAnsiTheme="majorHAnsi" w:cs="Myriad Pro"/>
          <w:b/>
        </w:rPr>
        <w:t xml:space="preserve"> inicjatora kampanii.</w:t>
      </w:r>
    </w:p>
    <w:p w14:paraId="3ED6DC91" w14:textId="77777777" w:rsidR="004830AD" w:rsidRDefault="004830AD" w:rsidP="00C573C1">
      <w:pPr>
        <w:jc w:val="both"/>
        <w:rPr>
          <w:rFonts w:asciiTheme="majorHAnsi" w:hAnsiTheme="majorHAnsi" w:cs="Myriad Pro"/>
        </w:rPr>
      </w:pPr>
    </w:p>
    <w:p w14:paraId="278B5273" w14:textId="62B99604" w:rsidR="00CC6D24" w:rsidRPr="00CC6D24" w:rsidRDefault="00CC6D24" w:rsidP="00C573C1">
      <w:pPr>
        <w:jc w:val="both"/>
        <w:rPr>
          <w:rFonts w:asciiTheme="majorHAnsi" w:hAnsiTheme="majorHAnsi"/>
        </w:rPr>
      </w:pPr>
      <w:r w:rsidRPr="00CC6D24">
        <w:rPr>
          <w:rFonts w:asciiTheme="majorHAnsi" w:hAnsiTheme="majorHAnsi" w:cs="Myriad Pro"/>
        </w:rPr>
        <w:t>Misją kampanii edukacyjnej „For better data flow – praktykuj efektywne transakcje” jest edukacja rynku w zakresie dobrych praktyk</w:t>
      </w:r>
      <w:r w:rsidR="00DA4E3F">
        <w:rPr>
          <w:rFonts w:asciiTheme="majorHAnsi" w:hAnsiTheme="majorHAnsi" w:cs="Myriad Pro"/>
        </w:rPr>
        <w:t>, które stosowane</w:t>
      </w:r>
      <w:r w:rsidRPr="00CC6D24">
        <w:rPr>
          <w:rFonts w:asciiTheme="majorHAnsi" w:hAnsiTheme="majorHAnsi" w:cs="Myriad Pro"/>
        </w:rPr>
        <w:t xml:space="preserve"> </w:t>
      </w:r>
      <w:r w:rsidR="00C573C1">
        <w:rPr>
          <w:rFonts w:asciiTheme="majorHAnsi" w:hAnsiTheme="majorHAnsi" w:cs="Myriad Pro"/>
        </w:rPr>
        <w:t xml:space="preserve">są </w:t>
      </w:r>
      <w:r w:rsidRPr="00CC6D24">
        <w:rPr>
          <w:rFonts w:asciiTheme="majorHAnsi" w:hAnsiTheme="majorHAnsi" w:cs="Myriad Pro"/>
        </w:rPr>
        <w:t>podczas procesów transakcyjnych.</w:t>
      </w:r>
      <w:r w:rsidRPr="00CC6D24">
        <w:rPr>
          <w:rFonts w:asciiTheme="majorHAnsi" w:hAnsiTheme="majorHAnsi" w:cs="Myriad Pro"/>
          <w:b/>
        </w:rPr>
        <w:t xml:space="preserve"> </w:t>
      </w:r>
      <w:r w:rsidRPr="00CC6D24">
        <w:rPr>
          <w:rFonts w:asciiTheme="majorHAnsi" w:hAnsiTheme="majorHAnsi"/>
        </w:rPr>
        <w:t xml:space="preserve">Regulacje prawne coraz częściej uzupełniane </w:t>
      </w:r>
      <w:r w:rsidR="00DA4E3F">
        <w:rPr>
          <w:rFonts w:asciiTheme="majorHAnsi" w:hAnsiTheme="majorHAnsi"/>
        </w:rPr>
        <w:t xml:space="preserve">są </w:t>
      </w:r>
      <w:r w:rsidRPr="00CC6D24">
        <w:rPr>
          <w:rFonts w:asciiTheme="majorHAnsi" w:hAnsiTheme="majorHAnsi"/>
        </w:rPr>
        <w:t>dobrymi praktykami, któr</w:t>
      </w:r>
      <w:r w:rsidR="00DA4E3F">
        <w:rPr>
          <w:rFonts w:asciiTheme="majorHAnsi" w:hAnsiTheme="majorHAnsi"/>
        </w:rPr>
        <w:t>e</w:t>
      </w:r>
      <w:r w:rsidR="00423D90">
        <w:rPr>
          <w:rFonts w:asciiTheme="majorHAnsi" w:hAnsiTheme="majorHAnsi"/>
        </w:rPr>
        <w:t xml:space="preserve"> </w:t>
      </w:r>
      <w:r w:rsidRPr="00CC6D24">
        <w:rPr>
          <w:rFonts w:asciiTheme="majorHAnsi" w:hAnsiTheme="majorHAnsi"/>
        </w:rPr>
        <w:t>znacznie usprawnia</w:t>
      </w:r>
      <w:r w:rsidR="00DA4E3F">
        <w:rPr>
          <w:rFonts w:asciiTheme="majorHAnsi" w:hAnsiTheme="majorHAnsi"/>
        </w:rPr>
        <w:t>ją</w:t>
      </w:r>
      <w:r w:rsidRPr="00CC6D24">
        <w:rPr>
          <w:rFonts w:asciiTheme="majorHAnsi" w:hAnsiTheme="majorHAnsi"/>
        </w:rPr>
        <w:t xml:space="preserve"> współpracę wszystkim stronom szeroko rozumianego procesu transakcyjnego. Do tej pory powstało wiele branżowych katalogów dobrych praktyk, </w:t>
      </w:r>
      <w:r w:rsidR="00F12F97">
        <w:rPr>
          <w:rFonts w:asciiTheme="majorHAnsi" w:hAnsiTheme="majorHAnsi"/>
        </w:rPr>
        <w:br/>
      </w:r>
      <w:r w:rsidRPr="00CC6D24">
        <w:rPr>
          <w:rFonts w:asciiTheme="majorHAnsi" w:hAnsiTheme="majorHAnsi"/>
        </w:rPr>
        <w:t xml:space="preserve">np. </w:t>
      </w:r>
      <w:r w:rsidR="00C573C1">
        <w:rPr>
          <w:rFonts w:asciiTheme="majorHAnsi" w:hAnsiTheme="majorHAnsi"/>
          <w:bCs/>
        </w:rPr>
        <w:t>Kodeks Dobrych Praktyk D</w:t>
      </w:r>
      <w:r w:rsidRPr="00CC6D24">
        <w:rPr>
          <w:rFonts w:asciiTheme="majorHAnsi" w:hAnsiTheme="majorHAnsi"/>
          <w:bCs/>
        </w:rPr>
        <w:t>oradcy w procesie PPP</w:t>
      </w:r>
      <w:r w:rsidRPr="00CC6D24">
        <w:rPr>
          <w:rFonts w:asciiTheme="majorHAnsi" w:hAnsiTheme="majorHAnsi"/>
        </w:rPr>
        <w:t xml:space="preserve">, </w:t>
      </w:r>
      <w:r w:rsidR="00C573C1">
        <w:rPr>
          <w:rFonts w:asciiTheme="majorHAnsi" w:hAnsiTheme="majorHAnsi"/>
          <w:bCs/>
        </w:rPr>
        <w:t>Kodeks Dobrych Praktyk S</w:t>
      </w:r>
      <w:r w:rsidRPr="00CC6D24">
        <w:rPr>
          <w:rFonts w:asciiTheme="majorHAnsi" w:hAnsiTheme="majorHAnsi"/>
          <w:bCs/>
        </w:rPr>
        <w:t>półek notowanych na GPW</w:t>
      </w:r>
      <w:r w:rsidR="00DA4E3F">
        <w:rPr>
          <w:rFonts w:asciiTheme="majorHAnsi" w:hAnsiTheme="majorHAnsi"/>
          <w:bCs/>
        </w:rPr>
        <w:t>.</w:t>
      </w:r>
      <w:r w:rsidRPr="00CC6D24">
        <w:rPr>
          <w:rFonts w:asciiTheme="majorHAnsi" w:hAnsiTheme="majorHAnsi"/>
        </w:rPr>
        <w:t xml:space="preserve"> </w:t>
      </w:r>
      <w:r w:rsidR="00DA4E3F">
        <w:rPr>
          <w:rFonts w:asciiTheme="majorHAnsi" w:hAnsiTheme="majorHAnsi"/>
        </w:rPr>
        <w:t>N</w:t>
      </w:r>
      <w:r w:rsidRPr="00CC6D24">
        <w:rPr>
          <w:rFonts w:asciiTheme="majorHAnsi" w:hAnsiTheme="majorHAnsi"/>
        </w:rPr>
        <w:t xml:space="preserve">ie ujmują one </w:t>
      </w:r>
      <w:r w:rsidR="00DA4E3F">
        <w:rPr>
          <w:rFonts w:asciiTheme="majorHAnsi" w:hAnsiTheme="majorHAnsi"/>
        </w:rPr>
        <w:t xml:space="preserve">jednak </w:t>
      </w:r>
      <w:r w:rsidRPr="00CC6D24">
        <w:rPr>
          <w:rFonts w:asciiTheme="majorHAnsi" w:hAnsiTheme="majorHAnsi"/>
        </w:rPr>
        <w:t>wszystkich aspektów</w:t>
      </w:r>
      <w:r w:rsidR="00C573C1">
        <w:rPr>
          <w:rFonts w:asciiTheme="majorHAnsi" w:hAnsiTheme="majorHAnsi"/>
        </w:rPr>
        <w:t>,</w:t>
      </w:r>
      <w:r w:rsidRPr="00CC6D24">
        <w:rPr>
          <w:rFonts w:asciiTheme="majorHAnsi" w:hAnsiTheme="majorHAnsi"/>
        </w:rPr>
        <w:t xml:space="preserve"> jakie wytworzyły się podczas szybkiego rozwoju branży transakcyjnej. </w:t>
      </w:r>
    </w:p>
    <w:p w14:paraId="701454CB" w14:textId="77777777" w:rsidR="0096119B" w:rsidRPr="00CC6D24" w:rsidRDefault="0096119B" w:rsidP="0096119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2F52CF65" w14:textId="77777777" w:rsidR="003455F7" w:rsidRDefault="003455F7" w:rsidP="003455F7">
      <w:pPr>
        <w:jc w:val="both"/>
        <w:rPr>
          <w:rFonts w:asciiTheme="majorHAnsi" w:hAnsiTheme="majorHAnsi" w:cs="Myriad Pro"/>
        </w:rPr>
      </w:pPr>
      <w:r w:rsidRPr="001D48BF">
        <w:rPr>
          <w:rFonts w:asciiTheme="majorHAnsi" w:hAnsiTheme="majorHAnsi" w:cs="Myriad Pro"/>
        </w:rPr>
        <w:t xml:space="preserve">Kodeks Dobrych Praktyk Transakcyjnych </w:t>
      </w:r>
      <w:r>
        <w:rPr>
          <w:rFonts w:asciiTheme="majorHAnsi" w:hAnsiTheme="majorHAnsi" w:cs="Myriad Pro"/>
        </w:rPr>
        <w:t>z</w:t>
      </w:r>
      <w:r w:rsidRPr="003455F7">
        <w:rPr>
          <w:rFonts w:asciiTheme="majorHAnsi" w:hAnsiTheme="majorHAnsi" w:cs="Myriad Pro"/>
        </w:rPr>
        <w:t xml:space="preserve">ostanie zaprezentowany podczas konferencji otwartej dla rynku, która odbędzie się </w:t>
      </w:r>
      <w:r w:rsidRPr="00765210">
        <w:rPr>
          <w:rFonts w:asciiTheme="majorHAnsi" w:hAnsiTheme="majorHAnsi" w:cs="Myriad Pro"/>
          <w:b/>
        </w:rPr>
        <w:t xml:space="preserve">8. października 2015 r. w </w:t>
      </w:r>
      <w:proofErr w:type="spellStart"/>
      <w:r w:rsidRPr="00765210">
        <w:rPr>
          <w:rFonts w:asciiTheme="majorHAnsi" w:hAnsiTheme="majorHAnsi" w:cs="Myriad Pro"/>
          <w:b/>
        </w:rPr>
        <w:t>Pure</w:t>
      </w:r>
      <w:proofErr w:type="spellEnd"/>
      <w:r w:rsidRPr="00765210">
        <w:rPr>
          <w:rFonts w:asciiTheme="majorHAnsi" w:hAnsiTheme="majorHAnsi" w:cs="Myriad Pro"/>
          <w:b/>
        </w:rPr>
        <w:t xml:space="preserve"> </w:t>
      </w:r>
      <w:proofErr w:type="spellStart"/>
      <w:r w:rsidRPr="00765210">
        <w:rPr>
          <w:rFonts w:asciiTheme="majorHAnsi" w:hAnsiTheme="majorHAnsi" w:cs="Myriad Pro"/>
          <w:b/>
        </w:rPr>
        <w:t>Sky</w:t>
      </w:r>
      <w:proofErr w:type="spellEnd"/>
      <w:r w:rsidRPr="00765210">
        <w:rPr>
          <w:rFonts w:asciiTheme="majorHAnsi" w:hAnsiTheme="majorHAnsi" w:cs="Myriad Pro"/>
          <w:b/>
        </w:rPr>
        <w:t xml:space="preserve"> Club, mieszczącym się przy ul. Złota 59 w Warszawie</w:t>
      </w:r>
      <w:r w:rsidRPr="003455F7">
        <w:rPr>
          <w:rFonts w:asciiTheme="majorHAnsi" w:hAnsiTheme="majorHAnsi" w:cs="Myriad Pro"/>
        </w:rPr>
        <w:t>.</w:t>
      </w:r>
    </w:p>
    <w:p w14:paraId="16EB3288" w14:textId="77777777" w:rsidR="003455F7" w:rsidRDefault="003455F7" w:rsidP="004830AD">
      <w:pPr>
        <w:jc w:val="both"/>
        <w:rPr>
          <w:rFonts w:asciiTheme="majorHAnsi" w:hAnsiTheme="majorHAnsi"/>
        </w:rPr>
      </w:pPr>
    </w:p>
    <w:p w14:paraId="1DFF57F2" w14:textId="61CC0189" w:rsidR="00316CD0" w:rsidRDefault="004830AD" w:rsidP="004830AD">
      <w:pPr>
        <w:jc w:val="both"/>
        <w:rPr>
          <w:rFonts w:asciiTheme="majorHAnsi" w:hAnsiTheme="majorHAnsi" w:cs="Myriad Pro"/>
        </w:rPr>
      </w:pPr>
      <w:r w:rsidRPr="002D0E3D">
        <w:rPr>
          <w:rFonts w:asciiTheme="majorHAnsi" w:hAnsiTheme="majorHAnsi"/>
        </w:rPr>
        <w:t>Zapraszamy osoby zainteresowane rozwoje</w:t>
      </w:r>
      <w:r>
        <w:rPr>
          <w:rFonts w:asciiTheme="majorHAnsi" w:hAnsiTheme="majorHAnsi"/>
        </w:rPr>
        <w:t xml:space="preserve">m rynku transakcyjnego w Polsce </w:t>
      </w:r>
      <w:r w:rsidR="00CD6AD9" w:rsidRPr="00CD6AD9">
        <w:rPr>
          <w:rFonts w:asciiTheme="majorHAnsi" w:hAnsiTheme="majorHAnsi" w:cs="Myriad Pro"/>
        </w:rPr>
        <w:t xml:space="preserve">na </w:t>
      </w:r>
      <w:r w:rsidR="00CD6AD9" w:rsidRPr="00765210">
        <w:rPr>
          <w:rFonts w:asciiTheme="majorHAnsi" w:hAnsiTheme="majorHAnsi" w:cs="Myriad Pro"/>
          <w:b/>
        </w:rPr>
        <w:t>konferencję „For better data flow – praktykuj efektywne trans</w:t>
      </w:r>
      <w:r w:rsidRPr="00765210">
        <w:rPr>
          <w:rFonts w:asciiTheme="majorHAnsi" w:hAnsiTheme="majorHAnsi" w:cs="Myriad Pro"/>
          <w:b/>
        </w:rPr>
        <w:t>ak</w:t>
      </w:r>
      <w:r w:rsidR="00CD6AD9" w:rsidRPr="00765210">
        <w:rPr>
          <w:rFonts w:asciiTheme="majorHAnsi" w:hAnsiTheme="majorHAnsi" w:cs="Myriad Pro"/>
          <w:b/>
        </w:rPr>
        <w:t xml:space="preserve">cje”, </w:t>
      </w:r>
      <w:r w:rsidR="00CD6AD9" w:rsidRPr="00CD6AD9">
        <w:rPr>
          <w:rFonts w:asciiTheme="majorHAnsi" w:hAnsiTheme="majorHAnsi" w:cs="Myriad Pro"/>
        </w:rPr>
        <w:t xml:space="preserve">podczas której odbędzie się również debata o profesjonalizacji rynku transakcyjnego w gronie wybitnych specjalistów </w:t>
      </w:r>
      <w:r w:rsidR="00F12F97">
        <w:rPr>
          <w:rFonts w:asciiTheme="majorHAnsi" w:hAnsiTheme="majorHAnsi" w:cs="Myriad Pro"/>
        </w:rPr>
        <w:br/>
      </w:r>
      <w:r w:rsidR="00CD6AD9" w:rsidRPr="00CD6AD9">
        <w:rPr>
          <w:rFonts w:asciiTheme="majorHAnsi" w:hAnsiTheme="majorHAnsi" w:cs="Myriad Pro"/>
        </w:rPr>
        <w:t xml:space="preserve">z bogatym doświadczeniem międzynarodowym w zakresie fuzji i przejęć, emisji akcji </w:t>
      </w:r>
      <w:r w:rsidR="00F12F97">
        <w:rPr>
          <w:rFonts w:asciiTheme="majorHAnsi" w:hAnsiTheme="majorHAnsi" w:cs="Myriad Pro"/>
        </w:rPr>
        <w:br/>
      </w:r>
      <w:r w:rsidR="00CD6AD9" w:rsidRPr="00CD6AD9">
        <w:rPr>
          <w:rFonts w:asciiTheme="majorHAnsi" w:hAnsiTheme="majorHAnsi" w:cs="Myriad Pro"/>
        </w:rPr>
        <w:t>i obligacji, restrukturyzacji i PPP.</w:t>
      </w:r>
    </w:p>
    <w:p w14:paraId="26F163C0" w14:textId="77777777" w:rsidR="004830AD" w:rsidRPr="004830AD" w:rsidRDefault="004830AD" w:rsidP="004830AD">
      <w:pPr>
        <w:jc w:val="both"/>
        <w:rPr>
          <w:rFonts w:asciiTheme="majorHAnsi" w:hAnsiTheme="majorHAnsi"/>
        </w:rPr>
      </w:pPr>
    </w:p>
    <w:p w14:paraId="5237EE61" w14:textId="46C0F088" w:rsidR="004830AD" w:rsidRPr="00CD6AD9" w:rsidRDefault="004830AD" w:rsidP="00CD6A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>
        <w:rPr>
          <w:rFonts w:asciiTheme="majorHAnsi" w:hAnsiTheme="majorHAnsi"/>
        </w:rPr>
        <w:lastRenderedPageBreak/>
        <w:t xml:space="preserve">Udział w konferencji jest </w:t>
      </w:r>
      <w:r w:rsidRPr="00765210">
        <w:rPr>
          <w:rFonts w:asciiTheme="majorHAnsi" w:hAnsiTheme="majorHAnsi"/>
          <w:u w:val="single"/>
        </w:rPr>
        <w:t>bezpłatny</w:t>
      </w:r>
      <w:r>
        <w:rPr>
          <w:rFonts w:asciiTheme="majorHAnsi" w:hAnsiTheme="majorHAnsi"/>
        </w:rPr>
        <w:t xml:space="preserve">. </w:t>
      </w:r>
      <w:r w:rsidRPr="002D0E3D">
        <w:rPr>
          <w:rFonts w:asciiTheme="majorHAnsi" w:hAnsiTheme="majorHAnsi"/>
        </w:rPr>
        <w:t xml:space="preserve">Liczy się kolejność zgłoszeń. Organizatorzy zastrzegają </w:t>
      </w:r>
      <w:r>
        <w:rPr>
          <w:rFonts w:asciiTheme="majorHAnsi" w:hAnsiTheme="majorHAnsi"/>
        </w:rPr>
        <w:t>sobie prawo do weryfikacji</w:t>
      </w:r>
      <w:r w:rsidRPr="002D0E3D">
        <w:rPr>
          <w:rFonts w:asciiTheme="majorHAnsi" w:hAnsiTheme="majorHAnsi"/>
        </w:rPr>
        <w:t xml:space="preserve"> zgłoszeń.</w:t>
      </w:r>
    </w:p>
    <w:p w14:paraId="2E53F733" w14:textId="77777777" w:rsidR="00C573C1" w:rsidRPr="00CC6D24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298589F4" w14:textId="77777777" w:rsidR="002D0E3D" w:rsidRDefault="00FB755D" w:rsidP="00C573C1">
      <w:pPr>
        <w:jc w:val="both"/>
        <w:rPr>
          <w:rStyle w:val="Hipercze"/>
          <w:rFonts w:asciiTheme="majorHAnsi" w:hAnsiTheme="majorHAnsi"/>
        </w:rPr>
      </w:pPr>
      <w:r>
        <w:rPr>
          <w:rFonts w:asciiTheme="majorHAnsi" w:hAnsiTheme="majorHAnsi"/>
        </w:rPr>
        <w:t>Zapisy na konferencję możliwe są na stronie kampanii</w:t>
      </w:r>
      <w:r w:rsidR="0096119B">
        <w:rPr>
          <w:rFonts w:asciiTheme="majorHAnsi" w:hAnsiTheme="majorHAnsi"/>
        </w:rPr>
        <w:t xml:space="preserve"> </w:t>
      </w:r>
      <w:hyperlink r:id="rId9" w:history="1">
        <w:r w:rsidR="0096119B" w:rsidRPr="0096119B">
          <w:rPr>
            <w:rStyle w:val="Hipercze"/>
            <w:rFonts w:asciiTheme="majorHAnsi" w:hAnsiTheme="majorHAnsi"/>
          </w:rPr>
          <w:t>efektywnetransakcje.pl/formularz</w:t>
        </w:r>
      </w:hyperlink>
    </w:p>
    <w:p w14:paraId="7353895C" w14:textId="77777777" w:rsidR="00326A62" w:rsidRPr="002D0E3D" w:rsidRDefault="00326A62" w:rsidP="00C573C1">
      <w:pPr>
        <w:jc w:val="both"/>
        <w:rPr>
          <w:rFonts w:asciiTheme="majorHAnsi" w:hAnsiTheme="majorHAnsi"/>
        </w:rPr>
      </w:pPr>
    </w:p>
    <w:p w14:paraId="70D78336" w14:textId="77777777" w:rsidR="00EC49DD" w:rsidRDefault="00EC49DD" w:rsidP="00C573C1">
      <w:pPr>
        <w:jc w:val="both"/>
        <w:rPr>
          <w:rFonts w:asciiTheme="majorHAnsi" w:hAnsiTheme="majorHAnsi"/>
        </w:rPr>
      </w:pPr>
    </w:p>
    <w:p w14:paraId="42533778" w14:textId="38F3064F" w:rsidR="00CC6D24" w:rsidRPr="0096119B" w:rsidRDefault="00F15156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 xml:space="preserve">W skład Rady weszło wielu cenionych doradców transakcyjnych, przedstawicieli kancelarii prawnych, domów maklerskich, banków i funduszy inwestycyjnych, ekspertów ds. fuzji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>i przejęć</w:t>
      </w:r>
      <w:r w:rsidR="00DA4E3F" w:rsidRPr="0096119B">
        <w:rPr>
          <w:rFonts w:asciiTheme="majorHAnsi" w:hAnsiTheme="majorHAnsi" w:cs="Myriad Pro"/>
        </w:rPr>
        <w:t xml:space="preserve">, </w:t>
      </w:r>
      <w:r w:rsidRPr="0096119B">
        <w:rPr>
          <w:rFonts w:asciiTheme="majorHAnsi" w:hAnsiTheme="majorHAnsi" w:cs="Myriad Pro"/>
        </w:rPr>
        <w:t xml:space="preserve">emisji akcji i obligacji, restrukturyzacji, PPP </w:t>
      </w:r>
      <w:r w:rsidR="00FB755D" w:rsidRPr="0096119B">
        <w:rPr>
          <w:rFonts w:asciiTheme="majorHAnsi" w:hAnsiTheme="majorHAnsi" w:cs="Myriad Pro"/>
        </w:rPr>
        <w:t>i innych.</w:t>
      </w:r>
      <w:r w:rsidR="00CC6D24" w:rsidRPr="0096119B">
        <w:rPr>
          <w:rFonts w:asciiTheme="majorHAnsi" w:hAnsiTheme="majorHAnsi" w:cs="Myriad Pro"/>
        </w:rPr>
        <w:t xml:space="preserve"> Opracowali oni rekomendacje</w:t>
      </w:r>
      <w:r w:rsidR="00DA4E3F" w:rsidRPr="0096119B">
        <w:rPr>
          <w:rFonts w:asciiTheme="majorHAnsi" w:hAnsiTheme="majorHAnsi" w:cs="Myriad Pro"/>
        </w:rPr>
        <w:t xml:space="preserve">, </w:t>
      </w:r>
      <w:r w:rsidR="00CC6D24" w:rsidRPr="0096119B">
        <w:rPr>
          <w:rFonts w:asciiTheme="majorHAnsi" w:hAnsiTheme="majorHAnsi" w:cs="Myriad Pro"/>
        </w:rPr>
        <w:t>bazując na swoim doświadczeniu zawodowym.</w:t>
      </w:r>
    </w:p>
    <w:p w14:paraId="744CAFCF" w14:textId="77777777" w:rsidR="00F15156" w:rsidRPr="0096119B" w:rsidRDefault="00F15156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</w:p>
    <w:p w14:paraId="3D018838" w14:textId="1CD99BB4" w:rsidR="00F15156" w:rsidRPr="0096119B" w:rsidRDefault="00CC6D24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Radę Programową kampanii tworzą:</w:t>
      </w:r>
    </w:p>
    <w:p w14:paraId="785EB00E" w14:textId="63235D2A" w:rsidR="00C573C1" w:rsidRPr="0096119B" w:rsidRDefault="00EC49DD" w:rsidP="00C573C1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C573C1" w:rsidRPr="0096119B">
        <w:rPr>
          <w:rFonts w:asciiTheme="majorHAnsi" w:hAnsiTheme="majorHAnsi"/>
          <w:b/>
        </w:rPr>
        <w:t>Aleksandra Porębska</w:t>
      </w:r>
      <w:r w:rsidR="00C573C1" w:rsidRPr="0096119B">
        <w:rPr>
          <w:rFonts w:asciiTheme="majorHAnsi" w:hAnsiTheme="majorHAnsi"/>
        </w:rPr>
        <w:t xml:space="preserve">, Partner w FORDATA, przedstawiciel inicjatora kampanii. Uznany specjalista w zakresie bezpieczeństwa informacji. Odpowiada za rekomendację dobrej praktyki w tym obszarze. </w:t>
      </w:r>
    </w:p>
    <w:p w14:paraId="639506F7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67391190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Bartosz Groele</w:t>
      </w:r>
      <w:r w:rsidRPr="0096119B">
        <w:rPr>
          <w:rFonts w:asciiTheme="majorHAnsi" w:hAnsiTheme="majorHAnsi" w:cs="Myriad Pro"/>
        </w:rPr>
        <w:t xml:space="preserve">, partner w kancelarii </w:t>
      </w:r>
      <w:r w:rsidRPr="0096119B">
        <w:rPr>
          <w:rFonts w:asciiTheme="majorHAnsi" w:hAnsiTheme="majorHAnsi"/>
        </w:rPr>
        <w:t>Tomasik Pakosiewicz Groele</w:t>
      </w:r>
      <w:r w:rsidRPr="0096119B">
        <w:rPr>
          <w:rFonts w:asciiTheme="majorHAnsi" w:hAnsiTheme="majorHAnsi" w:cs="Myriad Pro"/>
        </w:rPr>
        <w:t xml:space="preserve"> oraz wiceprezes Instytutu Allerhanda. Ekspert w zakresie restrukturyzacji i postępowania upadłościowego. </w:t>
      </w:r>
    </w:p>
    <w:p w14:paraId="1363A75E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711883C2" w14:textId="391E09D1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Bartosz Mysiorski</w:t>
      </w:r>
      <w:r w:rsidRPr="0096119B">
        <w:rPr>
          <w:rFonts w:asciiTheme="majorHAnsi" w:hAnsiTheme="majorHAnsi" w:cs="Myriad Pro"/>
        </w:rPr>
        <w:t xml:space="preserve">, wiceprezes Fundacji Centrum PPP. Znany i ceniony specjalista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 xml:space="preserve">w dziedzinie Partnerstwa Publiczno-Prywatnego, autor wielu analiz, opinii i publikacji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>z zakresu PPP. Opracowuje rekomendację w zakresie specjalizacji PPP.</w:t>
      </w:r>
    </w:p>
    <w:p w14:paraId="548395AC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5711CC69" w14:textId="506B569D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Dariusz Gałązka</w:t>
      </w:r>
      <w:r w:rsidRPr="0096119B">
        <w:rPr>
          <w:rFonts w:asciiTheme="majorHAnsi" w:hAnsiTheme="majorHAnsi" w:cs="Myriad Pro"/>
        </w:rPr>
        <w:t xml:space="preserve">, biegły rewident i partner w międzynarodowej firmie doradczej Grant Thornton. Przygotowuje rekomendację w zakresie audytu i Due Diligence finansowego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>i podatkowego.</w:t>
      </w:r>
    </w:p>
    <w:p w14:paraId="60DBCBAF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6B21D5DC" w14:textId="40E6AE03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Dariusz Tenderenda</w:t>
      </w:r>
      <w:r w:rsidRPr="0096119B">
        <w:rPr>
          <w:rFonts w:asciiTheme="majorHAnsi" w:hAnsiTheme="majorHAnsi"/>
        </w:rPr>
        <w:t xml:space="preserve">, Członek Zarządu Domu Maklerskiego Navigator i Partner w Navigator Capital. Opracuje rekomendację w zakresie pozyskiwania kapitału poprzez publiczne </w:t>
      </w:r>
      <w:r w:rsidR="0096119B">
        <w:rPr>
          <w:rFonts w:asciiTheme="majorHAnsi" w:hAnsiTheme="majorHAnsi"/>
        </w:rPr>
        <w:br/>
      </w:r>
      <w:r w:rsidRPr="0096119B">
        <w:rPr>
          <w:rFonts w:asciiTheme="majorHAnsi" w:hAnsiTheme="majorHAnsi"/>
        </w:rPr>
        <w:t>i prywatne oferty akcji.</w:t>
      </w:r>
    </w:p>
    <w:p w14:paraId="0C16383C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4B780B12" w14:textId="1857A019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Jakub Jędrzejak</w:t>
      </w:r>
      <w:r w:rsidRPr="0096119B">
        <w:rPr>
          <w:rFonts w:asciiTheme="majorHAnsi" w:hAnsiTheme="majorHAnsi" w:cs="Myriad Pro"/>
        </w:rPr>
        <w:t>, partner w kancelarii WKB Wierciński Kwieciński Baehr, radca prawny specjalizujący się w prowadzeniu transakcji M&amp;A z udziałem funduszy private equity oraz inwestorów zagranicznych</w:t>
      </w:r>
    </w:p>
    <w:p w14:paraId="574D90FF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55C07036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Jakub Ziółek</w:t>
      </w:r>
      <w:r w:rsidRPr="0096119B">
        <w:rPr>
          <w:rFonts w:asciiTheme="majorHAnsi" w:hAnsiTheme="majorHAnsi" w:cs="Myriad Pro"/>
        </w:rPr>
        <w:t>, partner w Crido Legal, radca prawny, z bogatym doświadczeniem transakcyjnym. Przygotowuje rekomendację w zakresie nieruchomości komercyjnych.</w:t>
      </w:r>
    </w:p>
    <w:p w14:paraId="529D9ED5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03E33BB5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Krzysztof Dziubiński</w:t>
      </w:r>
      <w:r w:rsidRPr="0096119B">
        <w:rPr>
          <w:rFonts w:asciiTheme="majorHAnsi" w:hAnsiTheme="majorHAnsi"/>
        </w:rPr>
        <w:t>, CFA, Prezes Zarządu Navigator Debt Advisory, Członek Zarządu w Domu Maklerskim Navigator SA. Przygotuje rekomendację w zakresie emisji obligacji korporacyjnych.</w:t>
      </w:r>
    </w:p>
    <w:p w14:paraId="3F763890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3564D3CA" w14:textId="10F6D27A" w:rsidR="00C573C1" w:rsidRPr="0096119B" w:rsidRDefault="00C573C1" w:rsidP="00C573C1">
      <w:pPr>
        <w:jc w:val="both"/>
        <w:rPr>
          <w:rFonts w:asciiTheme="majorHAnsi" w:hAnsiTheme="majorHAnsi"/>
          <w:b/>
        </w:rPr>
      </w:pPr>
      <w:r w:rsidRPr="0096119B">
        <w:rPr>
          <w:rFonts w:asciiTheme="majorHAnsi" w:hAnsiTheme="majorHAnsi"/>
          <w:b/>
        </w:rPr>
        <w:t>Małgorzata Bobrowska-Jarząbek</w:t>
      </w:r>
      <w:r w:rsidRPr="0096119B">
        <w:rPr>
          <w:rFonts w:asciiTheme="majorHAnsi" w:hAnsiTheme="majorHAnsi"/>
        </w:rPr>
        <w:t>,</w:t>
      </w:r>
      <w:r w:rsidRPr="0096119B">
        <w:rPr>
          <w:rFonts w:asciiTheme="majorHAnsi" w:hAnsiTheme="majorHAnsi"/>
          <w:b/>
        </w:rPr>
        <w:t xml:space="preserve"> </w:t>
      </w:r>
      <w:r w:rsidRPr="0096119B">
        <w:rPr>
          <w:rFonts w:asciiTheme="majorHAnsi" w:hAnsiTheme="majorHAnsi"/>
        </w:rPr>
        <w:t xml:space="preserve">współzałożyciel i dyrektor inwestycyjny w Resource Partners. Jako ekspert w zakresie doradztwa inwestycyjnego, przygotuje rekomendację dotyczącą </w:t>
      </w:r>
      <w:r w:rsidRPr="0096119B">
        <w:rPr>
          <w:rFonts w:asciiTheme="majorHAnsi" w:hAnsiTheme="majorHAnsi" w:cs="Myriad Pro"/>
        </w:rPr>
        <w:t xml:space="preserve">prowadzeni transakcji M&amp;A z udziałem funduszy private equity. </w:t>
      </w:r>
    </w:p>
    <w:p w14:paraId="781DC04D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28673499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Małgorzata Kuik</w:t>
      </w:r>
      <w:r w:rsidRPr="0096119B">
        <w:rPr>
          <w:rFonts w:asciiTheme="majorHAnsi" w:hAnsiTheme="majorHAnsi" w:cs="Myriad Pro"/>
        </w:rPr>
        <w:t xml:space="preserve">, Partner w firmie doradczej F5 Konsulting, z kilkunastoletnim </w:t>
      </w:r>
      <w:r w:rsidRPr="0096119B">
        <w:rPr>
          <w:rFonts w:asciiTheme="majorHAnsi" w:hAnsiTheme="majorHAnsi" w:cs="Myriad Pro"/>
        </w:rPr>
        <w:lastRenderedPageBreak/>
        <w:t>doświadczeniem na rynku M&amp;A, we współpracy z podmiotami prywatnymi, funduszami inwestycyjnymi, grupami kapitałowymi, Skarbem Państwa oraz samorządami terytorialnymi.</w:t>
      </w:r>
    </w:p>
    <w:p w14:paraId="1A599758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7A0FC290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Michał Zawisza</w:t>
      </w:r>
      <w:r w:rsidRPr="0096119B">
        <w:rPr>
          <w:rFonts w:asciiTheme="majorHAnsi" w:hAnsiTheme="majorHAnsi"/>
        </w:rPr>
        <w:t>, współzałożyciel AVALLON Sp. z o.o. polskiej firmy zarządzającej funduszami private equity. Przygotuje rekomendację w zakresie lewarowanych wykupów menedżerskich (LMBO).</w:t>
      </w:r>
    </w:p>
    <w:p w14:paraId="49A805F9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4DF9FE71" w14:textId="7DC0E569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Sławomir Witkowski</w:t>
      </w:r>
      <w:r w:rsidRPr="0096119B">
        <w:rPr>
          <w:rFonts w:asciiTheme="majorHAnsi" w:hAnsiTheme="majorHAnsi"/>
        </w:rPr>
        <w:t>,</w:t>
      </w:r>
      <w:r w:rsidRPr="0096119B">
        <w:rPr>
          <w:rFonts w:asciiTheme="majorHAnsi" w:hAnsiTheme="majorHAnsi"/>
          <w:b/>
        </w:rPr>
        <w:t xml:space="preserve"> s</w:t>
      </w:r>
      <w:r w:rsidRPr="0096119B">
        <w:rPr>
          <w:rFonts w:asciiTheme="majorHAnsi" w:hAnsiTheme="majorHAnsi"/>
        </w:rPr>
        <w:t xml:space="preserve">yndyk, rzeczoznawca majątkowy. Doświadczenie zawodowe </w:t>
      </w:r>
      <w:r w:rsidR="0096119B">
        <w:rPr>
          <w:rFonts w:asciiTheme="majorHAnsi" w:hAnsiTheme="majorHAnsi"/>
        </w:rPr>
        <w:br/>
        <w:t>w</w:t>
      </w:r>
      <w:r w:rsidRPr="0096119B">
        <w:rPr>
          <w:rFonts w:asciiTheme="majorHAnsi" w:hAnsiTheme="majorHAnsi"/>
        </w:rPr>
        <w:t xml:space="preserve"> restrukturyzacji i zarządzaniu finansami zdobywał jako dyrektor finansowy w podmiotach krajowych i międzynarodowych, a od roku 2009 jako syndyk i nadzorca sądowy. </w:t>
      </w:r>
    </w:p>
    <w:p w14:paraId="5D77D0B1" w14:textId="77777777" w:rsidR="00F15156" w:rsidRPr="0096119B" w:rsidRDefault="00F15156" w:rsidP="00C573C1">
      <w:pPr>
        <w:jc w:val="both"/>
        <w:rPr>
          <w:rFonts w:asciiTheme="majorHAnsi" w:hAnsiTheme="majorHAnsi"/>
        </w:rPr>
      </w:pPr>
    </w:p>
    <w:p w14:paraId="6A63C174" w14:textId="77777777" w:rsidR="00F12F97" w:rsidRDefault="00F12F97" w:rsidP="00C573C1">
      <w:pPr>
        <w:jc w:val="both"/>
        <w:rPr>
          <w:rFonts w:asciiTheme="majorHAnsi" w:hAnsiTheme="majorHAnsi"/>
        </w:rPr>
      </w:pPr>
    </w:p>
    <w:p w14:paraId="06909D6A" w14:textId="45250167" w:rsidR="00C573C1" w:rsidRPr="0096119B" w:rsidRDefault="00C573C1" w:rsidP="00C573C1">
      <w:pPr>
        <w:jc w:val="both"/>
        <w:rPr>
          <w:rFonts w:asciiTheme="majorHAnsi" w:hAnsiTheme="majorHAnsi"/>
        </w:rPr>
      </w:pPr>
      <w:bookmarkStart w:id="0" w:name="_GoBack"/>
      <w:bookmarkEnd w:id="0"/>
      <w:r w:rsidRPr="0096119B">
        <w:rPr>
          <w:rFonts w:asciiTheme="majorHAnsi" w:hAnsiTheme="majorHAnsi"/>
        </w:rPr>
        <w:t xml:space="preserve">Na stronie internetowej </w:t>
      </w:r>
      <w:hyperlink r:id="rId10" w:history="1">
        <w:r w:rsidR="0096119B" w:rsidRPr="0096119B">
          <w:rPr>
            <w:rStyle w:val="Hipercze"/>
            <w:rFonts w:asciiTheme="majorHAnsi" w:hAnsiTheme="majorHAnsi"/>
          </w:rPr>
          <w:t>efektywnetransakcje.pl</w:t>
        </w:r>
      </w:hyperlink>
      <w:r w:rsidRPr="0096119B">
        <w:rPr>
          <w:rFonts w:asciiTheme="majorHAnsi" w:hAnsiTheme="majorHAnsi"/>
        </w:rPr>
        <w:t xml:space="preserve"> głos</w:t>
      </w:r>
      <w:r w:rsidR="00423D90">
        <w:rPr>
          <w:rFonts w:asciiTheme="majorHAnsi" w:hAnsiTheme="majorHAnsi"/>
        </w:rPr>
        <w:t>ując można poprzeć inicjatywę.</w:t>
      </w:r>
    </w:p>
    <w:p w14:paraId="74F3A2BA" w14:textId="77777777" w:rsidR="00C573C1" w:rsidRPr="0096119B" w:rsidRDefault="00C573C1" w:rsidP="00C573C1">
      <w:pPr>
        <w:jc w:val="both"/>
        <w:rPr>
          <w:rFonts w:asciiTheme="majorHAnsi" w:hAnsiTheme="majorHAnsi"/>
        </w:rPr>
      </w:pPr>
    </w:p>
    <w:p w14:paraId="71BFE0A8" w14:textId="77777777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Inicjatorem kampanii jest firma FORDATA, pionier technologii Virtual Data Room na rynku polskim i Europy Centralnej i Wschodniej.</w:t>
      </w:r>
    </w:p>
    <w:p w14:paraId="354DD928" w14:textId="77777777" w:rsidR="00C573C1" w:rsidRPr="0096119B" w:rsidRDefault="00C573C1" w:rsidP="00C573C1">
      <w:pPr>
        <w:jc w:val="both"/>
        <w:rPr>
          <w:rFonts w:asciiTheme="majorHAnsi" w:hAnsiTheme="majorHAnsi"/>
        </w:rPr>
      </w:pPr>
    </w:p>
    <w:p w14:paraId="6C2DEFD1" w14:textId="77777777" w:rsidR="0096119B" w:rsidRDefault="0096119B" w:rsidP="00C573C1">
      <w:pPr>
        <w:jc w:val="both"/>
        <w:rPr>
          <w:rFonts w:asciiTheme="majorHAnsi" w:hAnsiTheme="majorHAnsi"/>
          <w:b/>
        </w:rPr>
      </w:pPr>
    </w:p>
    <w:p w14:paraId="03818E6A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  <w:r w:rsidRPr="0096119B">
        <w:rPr>
          <w:rFonts w:asciiTheme="majorHAnsi" w:hAnsiTheme="majorHAnsi"/>
          <w:b/>
        </w:rPr>
        <w:t>Kontakt dla mediów</w:t>
      </w:r>
    </w:p>
    <w:p w14:paraId="1C4132BB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0C43E895" w14:textId="77777777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Beata Milewicz, Rzecznik prasowy</w:t>
      </w:r>
    </w:p>
    <w:p w14:paraId="243E5BE5" w14:textId="5B31A21B" w:rsidR="00C573C1" w:rsidRPr="0096119B" w:rsidRDefault="00E3368F" w:rsidP="00C573C1">
      <w:pPr>
        <w:jc w:val="both"/>
        <w:rPr>
          <w:rFonts w:asciiTheme="majorHAnsi" w:hAnsiTheme="majorHAnsi"/>
        </w:rPr>
      </w:pPr>
      <w:hyperlink r:id="rId11" w:history="1">
        <w:r w:rsidR="002D0E3D" w:rsidRPr="0091455D">
          <w:rPr>
            <w:rStyle w:val="Hipercze"/>
            <w:rFonts w:asciiTheme="majorHAnsi" w:hAnsiTheme="majorHAnsi"/>
          </w:rPr>
          <w:t>beata.milewicz@efektywnetransakcje.pl</w:t>
        </w:r>
      </w:hyperlink>
    </w:p>
    <w:p w14:paraId="075829C6" w14:textId="77777777" w:rsidR="00C573C1" w:rsidRPr="0096119B" w:rsidRDefault="00C573C1" w:rsidP="00C573C1">
      <w:pPr>
        <w:jc w:val="both"/>
        <w:rPr>
          <w:rFonts w:asciiTheme="majorHAnsi" w:hAnsiTheme="majorHAnsi"/>
          <w:color w:val="000000"/>
        </w:rPr>
      </w:pPr>
      <w:r w:rsidRPr="0096119B">
        <w:rPr>
          <w:rFonts w:asciiTheme="majorHAnsi" w:hAnsiTheme="majorHAnsi"/>
        </w:rPr>
        <w:t xml:space="preserve">Tel. </w:t>
      </w:r>
      <w:r w:rsidRPr="0096119B">
        <w:rPr>
          <w:rFonts w:asciiTheme="majorHAnsi" w:hAnsiTheme="majorHAnsi"/>
          <w:color w:val="000000"/>
        </w:rPr>
        <w:t>(+48) 508 051 138</w:t>
      </w:r>
    </w:p>
    <w:p w14:paraId="5C4752A4" w14:textId="77777777" w:rsidR="00C573C1" w:rsidRPr="0096119B" w:rsidRDefault="00C573C1" w:rsidP="00C573C1">
      <w:pPr>
        <w:jc w:val="both"/>
        <w:rPr>
          <w:rFonts w:asciiTheme="majorHAnsi" w:hAnsiTheme="majorHAnsi"/>
        </w:rPr>
      </w:pPr>
    </w:p>
    <w:p w14:paraId="373A42E2" w14:textId="77777777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 xml:space="preserve">Więcej informacji o kampanii: </w:t>
      </w:r>
      <w:hyperlink r:id="rId12" w:history="1">
        <w:r w:rsidRPr="0096119B">
          <w:rPr>
            <w:rStyle w:val="Hipercze"/>
            <w:rFonts w:asciiTheme="majorHAnsi" w:hAnsiTheme="majorHAnsi"/>
          </w:rPr>
          <w:t>efektywnetransakcje.pl</w:t>
        </w:r>
      </w:hyperlink>
    </w:p>
    <w:p w14:paraId="5124A1C1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055E5829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0F68D7B7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  <w:r w:rsidRPr="0096119B">
        <w:rPr>
          <w:rFonts w:asciiTheme="majorHAnsi" w:hAnsiTheme="majorHAnsi"/>
          <w:b/>
        </w:rPr>
        <w:t>Partnerami medialnymi kampanii są:</w:t>
      </w:r>
    </w:p>
    <w:p w14:paraId="44285182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Rzeczpospolita</w:t>
      </w:r>
    </w:p>
    <w:p w14:paraId="59CBD3BF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Parkiet</w:t>
      </w:r>
    </w:p>
    <w:p w14:paraId="7B873953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Instytut Rynku Kapitałowego IRK</w:t>
      </w:r>
    </w:p>
    <w:p w14:paraId="0DAF176C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Instytutu Allerhanda</w:t>
      </w:r>
    </w:p>
    <w:p w14:paraId="11223DDD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GPW Media</w:t>
      </w:r>
    </w:p>
    <w:p w14:paraId="69AC0087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Korporacyjnie.pl</w:t>
      </w:r>
    </w:p>
    <w:p w14:paraId="069D328F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 xml:space="preserve">Szukam-inwestora.com </w:t>
      </w:r>
    </w:p>
    <w:p w14:paraId="57A9408F" w14:textId="77777777" w:rsidR="00C573C1" w:rsidRPr="0096119B" w:rsidRDefault="00C573C1" w:rsidP="0096119B">
      <w:pPr>
        <w:ind w:left="426" w:hanging="426"/>
        <w:jc w:val="both"/>
        <w:rPr>
          <w:rFonts w:asciiTheme="majorHAnsi" w:hAnsiTheme="majorHAnsi" w:cs="Myriad Pro"/>
        </w:rPr>
      </w:pPr>
    </w:p>
    <w:p w14:paraId="131E9906" w14:textId="77777777" w:rsidR="00C573C1" w:rsidRPr="0096119B" w:rsidRDefault="00C573C1" w:rsidP="0096119B">
      <w:pPr>
        <w:ind w:left="426" w:hanging="426"/>
        <w:jc w:val="both"/>
        <w:rPr>
          <w:rFonts w:asciiTheme="majorHAnsi" w:hAnsiTheme="majorHAnsi" w:cs="Myriad Pro"/>
          <w:b/>
        </w:rPr>
      </w:pPr>
      <w:r w:rsidRPr="0096119B">
        <w:rPr>
          <w:rFonts w:asciiTheme="majorHAnsi" w:hAnsiTheme="majorHAnsi" w:cs="Myriad Pro"/>
          <w:b/>
        </w:rPr>
        <w:t>Partnerami strategicznymi kampanii są:</w:t>
      </w:r>
    </w:p>
    <w:p w14:paraId="17E14450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Fundacji Centrum PPP</w:t>
      </w:r>
    </w:p>
    <w:p w14:paraId="38066F54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Tomasik Pakosiewicz Groele</w:t>
      </w:r>
    </w:p>
    <w:p w14:paraId="69E9C12E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Grant Thornton</w:t>
      </w:r>
    </w:p>
    <w:p w14:paraId="47A4EF7B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Crido Legal</w:t>
      </w:r>
    </w:p>
    <w:p w14:paraId="1D841F7F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F5 Konsulting</w:t>
      </w:r>
    </w:p>
    <w:p w14:paraId="70B90E7F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 xml:space="preserve">AVALLON Sp. z o.o </w:t>
      </w:r>
    </w:p>
    <w:p w14:paraId="066E034B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WKB Wierciński Kwieciński Baehr</w:t>
      </w:r>
    </w:p>
    <w:p w14:paraId="45810FF7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Dom Maklerski Navigator S.A.</w:t>
      </w:r>
    </w:p>
    <w:p w14:paraId="034E47A8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CAG</w:t>
      </w:r>
    </w:p>
    <w:p w14:paraId="6D1FB219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BAA Polska Sp. z o.o.</w:t>
      </w:r>
    </w:p>
    <w:p w14:paraId="2B24CA67" w14:textId="5856DDB5" w:rsidR="00F15156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lang w:val="en-US"/>
        </w:rPr>
      </w:pPr>
      <w:r w:rsidRPr="0096119B">
        <w:rPr>
          <w:rFonts w:asciiTheme="majorHAnsi" w:hAnsiTheme="majorHAnsi"/>
          <w:lang w:val="en-US"/>
        </w:rPr>
        <w:t>Resource Partners Sp. z o.o.</w:t>
      </w:r>
    </w:p>
    <w:sectPr w:rsidR="00F15156" w:rsidRPr="0096119B" w:rsidSect="00EC49DD">
      <w:headerReference w:type="default" r:id="rId13"/>
      <w:footerReference w:type="default" r:id="rId14"/>
      <w:pgSz w:w="11900" w:h="16840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C5F5" w14:textId="77777777" w:rsidR="00E3368F" w:rsidRDefault="00E3368F" w:rsidP="00925216">
      <w:r>
        <w:separator/>
      </w:r>
    </w:p>
  </w:endnote>
  <w:endnote w:type="continuationSeparator" w:id="0">
    <w:p w14:paraId="712224BF" w14:textId="77777777" w:rsidR="00E3368F" w:rsidRDefault="00E3368F" w:rsidP="009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Lato">
    <w:altName w:val="Arial"/>
    <w:panose1 w:val="00000000000000000000"/>
    <w:charset w:val="00"/>
    <w:family w:val="swiss"/>
    <w:notTrueType/>
    <w:pitch w:val="variable"/>
    <w:sig w:usb0="800000AF" w:usb1="40006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7BE" w14:textId="1628EDC8" w:rsidR="00B51419" w:rsidRPr="001B2892" w:rsidRDefault="00B51419">
    <w:pPr>
      <w:pStyle w:val="Stopka"/>
      <w:rPr>
        <w:rFonts w:ascii="Lato" w:hAnsi="Lato"/>
      </w:rPr>
    </w:pPr>
    <w:r w:rsidRPr="001B2892">
      <w:rPr>
        <w:rFonts w:ascii="Lato" w:hAnsi="Lato"/>
      </w:rPr>
      <w:t>www.efektywnetransakcje.pl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9F48" w14:textId="77777777" w:rsidR="00E3368F" w:rsidRDefault="00E3368F" w:rsidP="00925216">
      <w:r>
        <w:separator/>
      </w:r>
    </w:p>
  </w:footnote>
  <w:footnote w:type="continuationSeparator" w:id="0">
    <w:p w14:paraId="0E5360EB" w14:textId="77777777" w:rsidR="00E3368F" w:rsidRDefault="00E3368F" w:rsidP="0092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4737" w14:textId="574AC5BF" w:rsidR="00B51419" w:rsidRPr="00925216" w:rsidRDefault="00B51419" w:rsidP="00925216">
    <w:pPr>
      <w:pStyle w:val="Nagwek"/>
      <w:ind w:hanging="1417"/>
    </w:pPr>
    <w:r>
      <w:rPr>
        <w:noProof/>
      </w:rPr>
      <w:drawing>
        <wp:inline distT="0" distB="0" distL="0" distR="0" wp14:anchorId="6317ED69" wp14:editId="649919D8">
          <wp:extent cx="7610475" cy="858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33" cy="87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493"/>
    <w:multiLevelType w:val="hybridMultilevel"/>
    <w:tmpl w:val="67EA0880"/>
    <w:lvl w:ilvl="0" w:tplc="85FEF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AF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43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29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A1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65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2C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CC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A7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C2A19"/>
    <w:multiLevelType w:val="hybridMultilevel"/>
    <w:tmpl w:val="7B98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104E0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4"/>
    <w:rsid w:val="00106ED9"/>
    <w:rsid w:val="001A78DC"/>
    <w:rsid w:val="001B2892"/>
    <w:rsid w:val="001D0157"/>
    <w:rsid w:val="001D48BF"/>
    <w:rsid w:val="0027393C"/>
    <w:rsid w:val="002B281D"/>
    <w:rsid w:val="002D0E3D"/>
    <w:rsid w:val="00316CD0"/>
    <w:rsid w:val="00326A62"/>
    <w:rsid w:val="00337197"/>
    <w:rsid w:val="003455F7"/>
    <w:rsid w:val="003E0A97"/>
    <w:rsid w:val="00423D90"/>
    <w:rsid w:val="00445236"/>
    <w:rsid w:val="004830AD"/>
    <w:rsid w:val="004835EA"/>
    <w:rsid w:val="004B1C18"/>
    <w:rsid w:val="004B51BA"/>
    <w:rsid w:val="00524C0E"/>
    <w:rsid w:val="00540F41"/>
    <w:rsid w:val="00553A94"/>
    <w:rsid w:val="00684C4E"/>
    <w:rsid w:val="00756CA8"/>
    <w:rsid w:val="00765210"/>
    <w:rsid w:val="007E01A0"/>
    <w:rsid w:val="008047B8"/>
    <w:rsid w:val="0085549E"/>
    <w:rsid w:val="008A1A16"/>
    <w:rsid w:val="008B53D0"/>
    <w:rsid w:val="008D4B9F"/>
    <w:rsid w:val="008F0637"/>
    <w:rsid w:val="00925216"/>
    <w:rsid w:val="00950874"/>
    <w:rsid w:val="0096119B"/>
    <w:rsid w:val="0098078D"/>
    <w:rsid w:val="009A0932"/>
    <w:rsid w:val="009C0031"/>
    <w:rsid w:val="009F0FC5"/>
    <w:rsid w:val="00A221F2"/>
    <w:rsid w:val="00B01398"/>
    <w:rsid w:val="00B279BC"/>
    <w:rsid w:val="00B4468D"/>
    <w:rsid w:val="00B51419"/>
    <w:rsid w:val="00B83B6F"/>
    <w:rsid w:val="00BB42FB"/>
    <w:rsid w:val="00C062B3"/>
    <w:rsid w:val="00C16A22"/>
    <w:rsid w:val="00C401B0"/>
    <w:rsid w:val="00C573C1"/>
    <w:rsid w:val="00CA0F02"/>
    <w:rsid w:val="00CC6D24"/>
    <w:rsid w:val="00CC75D8"/>
    <w:rsid w:val="00CD6AD9"/>
    <w:rsid w:val="00CE6F83"/>
    <w:rsid w:val="00D15335"/>
    <w:rsid w:val="00D15949"/>
    <w:rsid w:val="00DA4E3F"/>
    <w:rsid w:val="00E3368F"/>
    <w:rsid w:val="00E50516"/>
    <w:rsid w:val="00E70C6A"/>
    <w:rsid w:val="00E739A6"/>
    <w:rsid w:val="00EC49DD"/>
    <w:rsid w:val="00F12F97"/>
    <w:rsid w:val="00F15156"/>
    <w:rsid w:val="00FB755D"/>
    <w:rsid w:val="00FC6C0E"/>
    <w:rsid w:val="00FD4FC8"/>
    <w:rsid w:val="00FE15A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98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8B5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98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8B5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fektywnetransak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ta.milewicz@efektywnetransakcj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ektywnetransakcj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fektywnetransakcje.pl/formular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51C1-D948-49C3-816C-B05113E2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Secret Services PR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Milewicz</dc:creator>
  <cp:lastModifiedBy>joanna.ratajczak</cp:lastModifiedBy>
  <cp:revision>6</cp:revision>
  <dcterms:created xsi:type="dcterms:W3CDTF">2015-09-22T06:08:00Z</dcterms:created>
  <dcterms:modified xsi:type="dcterms:W3CDTF">2015-09-22T08:31:00Z</dcterms:modified>
</cp:coreProperties>
</file>