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06FCD" w14:textId="55779B35" w:rsidR="00C94080" w:rsidRDefault="000B63AB" w:rsidP="00C94080">
      <w:pPr>
        <w:shd w:val="clear" w:color="auto" w:fill="FFFFFF"/>
        <w:jc w:val="right"/>
        <w:rPr>
          <w:rFonts w:cs="Arial"/>
          <w:sz w:val="24"/>
          <w:szCs w:val="24"/>
        </w:rPr>
      </w:pPr>
      <w:r w:rsidRPr="00C94080">
        <w:rPr>
          <w:rFonts w:cs="Arial"/>
          <w:sz w:val="20"/>
          <w:szCs w:val="20"/>
        </w:rPr>
        <w:t xml:space="preserve"> </w:t>
      </w:r>
      <w:r w:rsidR="00A70793">
        <w:rPr>
          <w:rFonts w:cs="Arial"/>
          <w:sz w:val="20"/>
          <w:szCs w:val="20"/>
        </w:rPr>
        <w:t>Poznań, 14. 05</w:t>
      </w:r>
      <w:r w:rsidR="00C75AD0">
        <w:rPr>
          <w:rFonts w:cs="Arial"/>
          <w:sz w:val="20"/>
          <w:szCs w:val="20"/>
        </w:rPr>
        <w:t>.</w:t>
      </w:r>
      <w:r w:rsidR="00C94080" w:rsidRPr="00C94080">
        <w:rPr>
          <w:rFonts w:cs="Arial"/>
          <w:sz w:val="20"/>
          <w:szCs w:val="20"/>
        </w:rPr>
        <w:t>14</w:t>
      </w:r>
    </w:p>
    <w:p w14:paraId="5A64F766" w14:textId="77777777" w:rsidR="00C94080" w:rsidRDefault="00C94080" w:rsidP="00C94080">
      <w:pPr>
        <w:shd w:val="clear" w:color="auto" w:fill="FFFFFF"/>
        <w:jc w:val="right"/>
        <w:rPr>
          <w:rFonts w:cs="Arial"/>
          <w:sz w:val="24"/>
          <w:szCs w:val="24"/>
        </w:rPr>
      </w:pPr>
    </w:p>
    <w:p w14:paraId="74950510" w14:textId="5A5C8439" w:rsidR="003E6E4D" w:rsidRPr="00767A46" w:rsidRDefault="003E6E4D" w:rsidP="003E6E4D">
      <w:pPr>
        <w:pStyle w:val="NormalnyWeb"/>
        <w:shd w:val="clear" w:color="auto" w:fill="FFFFFF"/>
        <w:spacing w:before="360" w:beforeAutospacing="0" w:after="0" w:afterAutospacing="0" w:line="253" w:lineRule="atLeast"/>
        <w:jc w:val="both"/>
        <w:rPr>
          <w:rFonts w:asciiTheme="minorHAnsi" w:eastAsiaTheme="minorHAnsi" w:hAnsiTheme="minorHAnsi" w:cstheme="minorBidi"/>
          <w:bCs/>
          <w:sz w:val="20"/>
          <w:szCs w:val="20"/>
          <w:lang w:val="pl-PL"/>
        </w:rPr>
      </w:pPr>
      <w:r w:rsidRPr="006C1CC6">
        <w:rPr>
          <w:rFonts w:asciiTheme="minorHAnsi" w:eastAsiaTheme="minorHAnsi" w:hAnsiTheme="minorHAnsi" w:cstheme="minorBidi"/>
          <w:bCs/>
          <w:sz w:val="20"/>
          <w:szCs w:val="20"/>
          <w:lang w:val="pl-PL"/>
        </w:rPr>
        <w:t>Prognozy dotyczące rynku Private Equity w regionie Europy Środkowo-Wschodniej</w:t>
      </w:r>
    </w:p>
    <w:p w14:paraId="7F959C21" w14:textId="2A496C54" w:rsidR="003E6E4D" w:rsidRPr="00767A46" w:rsidRDefault="003E6E4D" w:rsidP="003E6E4D">
      <w:pPr>
        <w:pStyle w:val="NormalnyWeb"/>
        <w:shd w:val="clear" w:color="auto" w:fill="FFFFFF"/>
        <w:spacing w:before="360" w:beforeAutospacing="0" w:after="0" w:afterAutospacing="0" w:line="253" w:lineRule="atLeast"/>
        <w:jc w:val="both"/>
        <w:rPr>
          <w:rFonts w:asciiTheme="minorHAnsi" w:eastAsiaTheme="minorHAnsi" w:hAnsiTheme="minorHAnsi" w:cstheme="minorBidi"/>
          <w:b/>
          <w:bCs/>
          <w:lang w:val="pl-PL"/>
        </w:rPr>
      </w:pPr>
      <w:r w:rsidRPr="006C1CC6">
        <w:rPr>
          <w:rFonts w:asciiTheme="minorHAnsi" w:eastAsiaTheme="minorHAnsi" w:hAnsiTheme="minorHAnsi" w:cstheme="minorBidi"/>
          <w:b/>
          <w:bCs/>
          <w:lang w:val="pl-PL"/>
        </w:rPr>
        <w:t>Czy Fundusze wyruszą na łowy?</w:t>
      </w:r>
    </w:p>
    <w:p w14:paraId="29938B3C" w14:textId="77777777" w:rsidR="003E6E4D" w:rsidRPr="006C1CC6" w:rsidRDefault="003E6E4D" w:rsidP="003E6E4D">
      <w:pPr>
        <w:pStyle w:val="NormalnyWeb"/>
        <w:shd w:val="clear" w:color="auto" w:fill="FFFFFF"/>
        <w:spacing w:before="360" w:beforeAutospacing="0" w:after="0" w:afterAutospacing="0" w:line="253" w:lineRule="atLeast"/>
        <w:jc w:val="both"/>
        <w:rPr>
          <w:rFonts w:asciiTheme="minorHAnsi" w:eastAsiaTheme="minorHAnsi" w:hAnsiTheme="minorHAnsi" w:cstheme="minorBidi"/>
          <w:b/>
          <w:sz w:val="20"/>
          <w:szCs w:val="20"/>
          <w:lang w:val="pl-PL"/>
        </w:rPr>
      </w:pPr>
      <w:r w:rsidRPr="006C1CC6">
        <w:rPr>
          <w:rFonts w:asciiTheme="minorHAnsi" w:eastAsiaTheme="minorHAnsi" w:hAnsiTheme="minorHAnsi" w:cstheme="minorBidi"/>
          <w:b/>
          <w:bCs/>
          <w:sz w:val="20"/>
          <w:szCs w:val="20"/>
          <w:lang w:val="pl-PL"/>
        </w:rPr>
        <w:t xml:space="preserve">Szacuje się, że fundusze Private Equity w skali globalnej mają do zainwestowania środki w wysokości </w:t>
      </w:r>
      <w:r w:rsidRPr="006C1CC6">
        <w:rPr>
          <w:rFonts w:asciiTheme="minorHAnsi" w:eastAsiaTheme="minorHAnsi" w:hAnsiTheme="minorHAnsi" w:cstheme="minorBidi"/>
          <w:b/>
          <w:bCs/>
          <w:sz w:val="20"/>
          <w:szCs w:val="20"/>
          <w:lang w:val="pl-PL"/>
        </w:rPr>
        <w:br/>
        <w:t xml:space="preserve">789 miliardów USD, z czego w regionie Europy Środkowo-Wschodniej planują wydać ponad miliard Euro </w:t>
      </w:r>
      <w:r w:rsidRPr="006C1CC6">
        <w:rPr>
          <w:rFonts w:asciiTheme="minorHAnsi" w:eastAsiaTheme="minorHAnsi" w:hAnsiTheme="minorHAnsi" w:cstheme="minorBidi"/>
          <w:b/>
          <w:bCs/>
          <w:sz w:val="20"/>
          <w:szCs w:val="20"/>
          <w:lang w:val="pl-PL"/>
        </w:rPr>
        <w:br/>
        <w:t xml:space="preserve">(wg  Prequin, 4Q2013). Jak podkreślają eksperci, jeszcze nigdy nie było takiej kumulacji. Czy to oznacza, że brakuje interesujących możliwości inwestycyjnych? </w:t>
      </w:r>
    </w:p>
    <w:p w14:paraId="1C515058" w14:textId="77777777" w:rsidR="003E6E4D" w:rsidRPr="00B6652A" w:rsidRDefault="003E6E4D" w:rsidP="003E6E4D">
      <w:pPr>
        <w:spacing w:after="0"/>
        <w:jc w:val="both"/>
        <w:rPr>
          <w:b/>
          <w:bCs/>
          <w:sz w:val="20"/>
          <w:szCs w:val="20"/>
        </w:rPr>
      </w:pPr>
    </w:p>
    <w:p w14:paraId="768407BF" w14:textId="77777777" w:rsidR="003E6E4D" w:rsidRPr="00B6652A" w:rsidRDefault="003E6E4D" w:rsidP="003E6E4D">
      <w:pPr>
        <w:spacing w:after="0"/>
        <w:jc w:val="both"/>
        <w:rPr>
          <w:sz w:val="20"/>
          <w:szCs w:val="20"/>
        </w:rPr>
      </w:pPr>
      <w:r w:rsidRPr="00B6652A">
        <w:rPr>
          <w:b/>
          <w:bCs/>
          <w:sz w:val="20"/>
          <w:szCs w:val="20"/>
        </w:rPr>
        <w:t xml:space="preserve">Według ekspertów Datapoint, </w:t>
      </w:r>
      <w:r w:rsidRPr="00B6652A">
        <w:rPr>
          <w:sz w:val="20"/>
          <w:szCs w:val="20"/>
        </w:rPr>
        <w:t>któr</w:t>
      </w:r>
      <w:r>
        <w:rPr>
          <w:sz w:val="20"/>
          <w:szCs w:val="20"/>
        </w:rPr>
        <w:t>z</w:t>
      </w:r>
      <w:r w:rsidRPr="00B6652A">
        <w:rPr>
          <w:sz w:val="20"/>
          <w:szCs w:val="20"/>
        </w:rPr>
        <w:t>y w oparciu o technologię VDR wspiera</w:t>
      </w:r>
      <w:r>
        <w:rPr>
          <w:sz w:val="20"/>
          <w:szCs w:val="20"/>
        </w:rPr>
        <w:t>ją</w:t>
      </w:r>
      <w:r w:rsidRPr="00B6652A">
        <w:rPr>
          <w:sz w:val="20"/>
          <w:szCs w:val="20"/>
        </w:rPr>
        <w:t xml:space="preserve"> transakcje inwestycyjne, z jednej strony na rynku CEE jest skumulowany kapitał, a z drugiej czeka wiele spółek, które szukają nie tylko źródeł finansowania, lecz także know-how, jakie może w zapewnić im fundusz Private Equity. </w:t>
      </w:r>
    </w:p>
    <w:p w14:paraId="422A2B0A" w14:textId="4E0698CF" w:rsidR="003E6E4D" w:rsidRPr="00767A46" w:rsidRDefault="003E6E4D" w:rsidP="003E6E4D">
      <w:pPr>
        <w:spacing w:after="0"/>
        <w:jc w:val="both"/>
        <w:rPr>
          <w:b/>
          <w:sz w:val="20"/>
          <w:szCs w:val="20"/>
        </w:rPr>
      </w:pPr>
      <w:r w:rsidRPr="00767A46">
        <w:rPr>
          <w:i/>
          <w:sz w:val="20"/>
          <w:szCs w:val="20"/>
        </w:rPr>
        <w:t>- Przedsiębiorcy rozpoczynający działalność w czasie transformacji ustrojowej powoli zbliżają się do wieku emerytalnego, a gdy sukcesorów w rodzinie nie widać, mariaż z funduszem wydaje się być kuszącą propozycją. Takie przedsiębiorstwa są bardzo pożądane przez fundusze PE ze względu na stabilność, dobrą i znaną markę oraz często nieoczywiste perspektywy wzrostu czekające na odkrycie</w:t>
      </w:r>
      <w:r w:rsidRPr="00B6652A">
        <w:rPr>
          <w:sz w:val="20"/>
          <w:szCs w:val="20"/>
        </w:rPr>
        <w:t xml:space="preserve"> </w:t>
      </w:r>
      <w:r w:rsidR="00767A46">
        <w:rPr>
          <w:sz w:val="20"/>
          <w:szCs w:val="20"/>
        </w:rPr>
        <w:t xml:space="preserve">- </w:t>
      </w:r>
      <w:r w:rsidRPr="00B6652A">
        <w:rPr>
          <w:sz w:val="20"/>
          <w:szCs w:val="20"/>
        </w:rPr>
        <w:t xml:space="preserve">powiedziała </w:t>
      </w:r>
      <w:r w:rsidRPr="00767A46">
        <w:rPr>
          <w:b/>
          <w:sz w:val="20"/>
          <w:szCs w:val="20"/>
        </w:rPr>
        <w:t xml:space="preserve">Marta </w:t>
      </w:r>
      <w:proofErr w:type="spellStart"/>
      <w:r w:rsidRPr="00767A46">
        <w:rPr>
          <w:b/>
          <w:sz w:val="20"/>
          <w:szCs w:val="20"/>
        </w:rPr>
        <w:t>Kotwis</w:t>
      </w:r>
      <w:proofErr w:type="spellEnd"/>
      <w:r w:rsidRPr="00767A46">
        <w:rPr>
          <w:b/>
          <w:sz w:val="20"/>
          <w:szCs w:val="20"/>
        </w:rPr>
        <w:t xml:space="preserve">, </w:t>
      </w:r>
      <w:proofErr w:type="spellStart"/>
      <w:r w:rsidRPr="00767A46">
        <w:rPr>
          <w:b/>
          <w:sz w:val="20"/>
          <w:szCs w:val="20"/>
        </w:rPr>
        <w:t>Key</w:t>
      </w:r>
      <w:proofErr w:type="spellEnd"/>
      <w:r w:rsidRPr="00767A46">
        <w:rPr>
          <w:b/>
          <w:sz w:val="20"/>
          <w:szCs w:val="20"/>
        </w:rPr>
        <w:t xml:space="preserve"> </w:t>
      </w:r>
      <w:proofErr w:type="spellStart"/>
      <w:r w:rsidRPr="00767A46">
        <w:rPr>
          <w:b/>
          <w:sz w:val="20"/>
          <w:szCs w:val="20"/>
        </w:rPr>
        <w:t>Account</w:t>
      </w:r>
      <w:proofErr w:type="spellEnd"/>
      <w:r w:rsidRPr="00767A46">
        <w:rPr>
          <w:b/>
          <w:sz w:val="20"/>
          <w:szCs w:val="20"/>
        </w:rPr>
        <w:t xml:space="preserve"> </w:t>
      </w:r>
      <w:proofErr w:type="spellStart"/>
      <w:r w:rsidRPr="00767A46">
        <w:rPr>
          <w:b/>
          <w:sz w:val="20"/>
          <w:szCs w:val="20"/>
        </w:rPr>
        <w:t>Director</w:t>
      </w:r>
      <w:proofErr w:type="spellEnd"/>
      <w:r w:rsidRPr="00767A46">
        <w:rPr>
          <w:b/>
          <w:sz w:val="20"/>
          <w:szCs w:val="20"/>
        </w:rPr>
        <w:t xml:space="preserve"> w </w:t>
      </w:r>
      <w:proofErr w:type="spellStart"/>
      <w:r w:rsidRPr="00767A46">
        <w:rPr>
          <w:b/>
          <w:sz w:val="20"/>
          <w:szCs w:val="20"/>
        </w:rPr>
        <w:t>Datapoint</w:t>
      </w:r>
      <w:proofErr w:type="spellEnd"/>
      <w:r w:rsidR="00767A46">
        <w:rPr>
          <w:b/>
          <w:sz w:val="20"/>
          <w:szCs w:val="20"/>
        </w:rPr>
        <w:t>.</w:t>
      </w:r>
    </w:p>
    <w:p w14:paraId="66C1F3D3" w14:textId="093DCFC2" w:rsidR="003E6E4D" w:rsidRPr="006C1CC6" w:rsidRDefault="003E6E4D" w:rsidP="003E6E4D">
      <w:pPr>
        <w:pStyle w:val="NormalnyWeb"/>
        <w:shd w:val="clear" w:color="auto" w:fill="FFFFFF"/>
        <w:spacing w:before="360" w:beforeAutospacing="0" w:after="0" w:afterAutospacing="0" w:line="253" w:lineRule="atLeast"/>
        <w:jc w:val="both"/>
        <w:rPr>
          <w:rFonts w:asciiTheme="minorHAnsi" w:eastAsiaTheme="minorHAnsi" w:hAnsiTheme="minorHAnsi" w:cstheme="minorBidi"/>
          <w:sz w:val="20"/>
          <w:szCs w:val="20"/>
          <w:lang w:val="pl-PL"/>
        </w:rPr>
      </w:pPr>
      <w:r w:rsidRPr="00767A46">
        <w:rPr>
          <w:rFonts w:asciiTheme="minorHAnsi" w:eastAsiaTheme="minorHAnsi" w:hAnsiTheme="minorHAnsi" w:cstheme="minorBidi"/>
          <w:i/>
          <w:sz w:val="20"/>
          <w:szCs w:val="20"/>
          <w:lang w:val="pl-PL"/>
        </w:rPr>
        <w:t>- Kilka regionalnych domów Private Equity w ostatnim czasie założyło nawet nowe fundusze skon</w:t>
      </w:r>
      <w:r w:rsidR="0039580E" w:rsidRPr="00767A46">
        <w:rPr>
          <w:rFonts w:asciiTheme="minorHAnsi" w:eastAsiaTheme="minorHAnsi" w:hAnsiTheme="minorHAnsi" w:cstheme="minorBidi"/>
          <w:i/>
          <w:sz w:val="20"/>
          <w:szCs w:val="20"/>
          <w:lang w:val="pl-PL"/>
        </w:rPr>
        <w:t xml:space="preserve">centrowane na regionie CEE, np. </w:t>
      </w:r>
      <w:proofErr w:type="spellStart"/>
      <w:r w:rsidRPr="00767A46">
        <w:rPr>
          <w:rFonts w:asciiTheme="minorHAnsi" w:eastAsiaTheme="minorHAnsi" w:hAnsiTheme="minorHAnsi" w:cstheme="minorBidi"/>
          <w:i/>
          <w:sz w:val="20"/>
          <w:szCs w:val="20"/>
          <w:lang w:val="pl-PL"/>
        </w:rPr>
        <w:t>Abris</w:t>
      </w:r>
      <w:proofErr w:type="spellEnd"/>
      <w:r w:rsidRPr="00767A46">
        <w:rPr>
          <w:rFonts w:asciiTheme="minorHAnsi" w:eastAsiaTheme="minorHAnsi" w:hAnsiTheme="minorHAnsi" w:cstheme="minorBidi"/>
          <w:i/>
          <w:sz w:val="20"/>
          <w:szCs w:val="20"/>
          <w:lang w:val="pl-PL"/>
        </w:rPr>
        <w:t xml:space="preserve"> Capital z 450 milionami EUR, Enterprise Investors z 314 milionami EUR i 3TS Partners z 103 milionami EUR (dane według spółki EY)</w:t>
      </w:r>
      <w:r w:rsidRPr="006C1CC6">
        <w:rPr>
          <w:rFonts w:asciiTheme="minorHAnsi" w:eastAsiaTheme="minorHAnsi" w:hAnsiTheme="minorHAnsi" w:cstheme="minorBidi"/>
          <w:sz w:val="20"/>
          <w:szCs w:val="20"/>
          <w:lang w:val="pl-PL"/>
        </w:rPr>
        <w:t xml:space="preserve"> – wylicza</w:t>
      </w:r>
      <w:r w:rsidR="0039580E">
        <w:rPr>
          <w:rFonts w:asciiTheme="minorHAnsi" w:eastAsiaTheme="minorHAnsi" w:hAnsiTheme="minorHAnsi" w:cstheme="minorBidi"/>
          <w:sz w:val="20"/>
          <w:szCs w:val="20"/>
          <w:lang w:val="pl-PL"/>
        </w:rPr>
        <w:t xml:space="preserve"> </w:t>
      </w:r>
      <w:proofErr w:type="spellStart"/>
      <w:r w:rsidR="0039580E" w:rsidRPr="00767A46">
        <w:rPr>
          <w:rFonts w:asciiTheme="minorHAnsi" w:eastAsiaTheme="minorHAnsi" w:hAnsiTheme="minorHAnsi" w:cstheme="minorBidi"/>
          <w:b/>
          <w:sz w:val="20"/>
          <w:szCs w:val="20"/>
          <w:lang w:val="pl-PL"/>
        </w:rPr>
        <w:t>Aleš</w:t>
      </w:r>
      <w:proofErr w:type="spellEnd"/>
      <w:r w:rsidR="0039580E" w:rsidRPr="00767A46">
        <w:rPr>
          <w:rFonts w:asciiTheme="minorHAnsi" w:eastAsiaTheme="minorHAnsi" w:hAnsiTheme="minorHAnsi" w:cstheme="minorBidi"/>
          <w:b/>
          <w:sz w:val="20"/>
          <w:szCs w:val="20"/>
          <w:lang w:val="pl-PL"/>
        </w:rPr>
        <w:t xml:space="preserve"> </w:t>
      </w:r>
      <w:proofErr w:type="spellStart"/>
      <w:r w:rsidR="0039580E" w:rsidRPr="00767A46">
        <w:rPr>
          <w:rFonts w:asciiTheme="minorHAnsi" w:eastAsiaTheme="minorHAnsi" w:hAnsiTheme="minorHAnsi" w:cstheme="minorBidi"/>
          <w:b/>
          <w:sz w:val="20"/>
          <w:szCs w:val="20"/>
          <w:lang w:val="pl-PL"/>
        </w:rPr>
        <w:t>Gavlas</w:t>
      </w:r>
      <w:proofErr w:type="spellEnd"/>
      <w:r w:rsidR="0039580E" w:rsidRPr="00767A46">
        <w:rPr>
          <w:rFonts w:asciiTheme="minorHAnsi" w:eastAsiaTheme="minorHAnsi" w:hAnsiTheme="minorHAnsi" w:cstheme="minorBidi"/>
          <w:b/>
          <w:sz w:val="20"/>
          <w:szCs w:val="20"/>
          <w:lang w:val="pl-PL"/>
        </w:rPr>
        <w:t xml:space="preserve"> z podmiotu doradczego ALG ADVISORY</w:t>
      </w:r>
      <w:r w:rsidR="0039580E">
        <w:rPr>
          <w:rFonts w:asciiTheme="minorHAnsi" w:eastAsiaTheme="minorHAnsi" w:hAnsiTheme="minorHAnsi" w:cstheme="minorBidi"/>
          <w:sz w:val="20"/>
          <w:szCs w:val="20"/>
          <w:lang w:val="pl-PL"/>
        </w:rPr>
        <w:t>.  Polska</w:t>
      </w:r>
      <w:r w:rsidRPr="006C1CC6">
        <w:rPr>
          <w:rFonts w:asciiTheme="minorHAnsi" w:eastAsiaTheme="minorHAnsi" w:hAnsiTheme="minorHAnsi" w:cstheme="minorBidi"/>
          <w:sz w:val="20"/>
          <w:szCs w:val="20"/>
          <w:lang w:val="pl-PL"/>
        </w:rPr>
        <w:t xml:space="preserve"> (jako rynek największy</w:t>
      </w:r>
      <w:r w:rsidR="0039580E">
        <w:rPr>
          <w:rFonts w:asciiTheme="minorHAnsi" w:eastAsiaTheme="minorHAnsi" w:hAnsiTheme="minorHAnsi" w:cstheme="minorBidi"/>
          <w:sz w:val="20"/>
          <w:szCs w:val="20"/>
          <w:lang w:val="pl-PL"/>
        </w:rPr>
        <w:t xml:space="preserve"> i najbardziej atrakcyjny)</w:t>
      </w:r>
      <w:r w:rsidRPr="006C1CC6">
        <w:rPr>
          <w:rFonts w:asciiTheme="minorHAnsi" w:eastAsiaTheme="minorHAnsi" w:hAnsiTheme="minorHAnsi" w:cstheme="minorBidi"/>
          <w:sz w:val="20"/>
          <w:szCs w:val="20"/>
          <w:lang w:val="pl-PL"/>
        </w:rPr>
        <w:t xml:space="preserve"> </w:t>
      </w:r>
      <w:r w:rsidR="0039580E">
        <w:rPr>
          <w:rFonts w:asciiTheme="minorHAnsi" w:eastAsiaTheme="minorHAnsi" w:hAnsiTheme="minorHAnsi" w:cstheme="minorBidi"/>
          <w:sz w:val="20"/>
          <w:szCs w:val="20"/>
          <w:lang w:val="pl-PL"/>
        </w:rPr>
        <w:t xml:space="preserve">znajduje się na celowniku </w:t>
      </w:r>
      <w:r w:rsidRPr="006C1CC6">
        <w:rPr>
          <w:rFonts w:asciiTheme="minorHAnsi" w:eastAsiaTheme="minorHAnsi" w:hAnsiTheme="minorHAnsi" w:cstheme="minorBidi"/>
          <w:sz w:val="20"/>
          <w:szCs w:val="20"/>
          <w:lang w:val="pl-PL"/>
        </w:rPr>
        <w:t>fundusz</w:t>
      </w:r>
      <w:r w:rsidR="0039580E">
        <w:rPr>
          <w:rFonts w:asciiTheme="minorHAnsi" w:eastAsiaTheme="minorHAnsi" w:hAnsiTheme="minorHAnsi" w:cstheme="minorBidi"/>
          <w:sz w:val="20"/>
          <w:szCs w:val="20"/>
          <w:lang w:val="pl-PL"/>
        </w:rPr>
        <w:t>u</w:t>
      </w:r>
      <w:r w:rsidRPr="006C1CC6">
        <w:rPr>
          <w:rFonts w:asciiTheme="minorHAnsi" w:eastAsiaTheme="minorHAnsi" w:hAnsiTheme="minorHAnsi" w:cstheme="minorBidi"/>
          <w:sz w:val="20"/>
          <w:szCs w:val="20"/>
          <w:lang w:val="pl-PL"/>
        </w:rPr>
        <w:t xml:space="preserve"> Hartenberg Holding należąc</w:t>
      </w:r>
      <w:r w:rsidR="0039580E">
        <w:rPr>
          <w:rFonts w:asciiTheme="minorHAnsi" w:eastAsiaTheme="minorHAnsi" w:hAnsiTheme="minorHAnsi" w:cstheme="minorBidi"/>
          <w:sz w:val="20"/>
          <w:szCs w:val="20"/>
          <w:lang w:val="pl-PL"/>
        </w:rPr>
        <w:t>ego</w:t>
      </w:r>
      <w:r w:rsidRPr="006C1CC6">
        <w:rPr>
          <w:rFonts w:asciiTheme="minorHAnsi" w:eastAsiaTheme="minorHAnsi" w:hAnsiTheme="minorHAnsi" w:cstheme="minorBidi"/>
          <w:sz w:val="20"/>
          <w:szCs w:val="20"/>
          <w:lang w:val="pl-PL"/>
        </w:rPr>
        <w:t xml:space="preserve"> do multimiliardera i </w:t>
      </w:r>
      <w:r w:rsidR="00521B93">
        <w:rPr>
          <w:rFonts w:asciiTheme="minorHAnsi" w:eastAsiaTheme="minorHAnsi" w:hAnsiTheme="minorHAnsi" w:cstheme="minorBidi"/>
          <w:sz w:val="20"/>
          <w:szCs w:val="20"/>
          <w:lang w:val="pl-PL"/>
        </w:rPr>
        <w:t>obecnie czeskiego ministra finan</w:t>
      </w:r>
      <w:r w:rsidR="0039580E">
        <w:rPr>
          <w:rFonts w:asciiTheme="minorHAnsi" w:eastAsiaTheme="minorHAnsi" w:hAnsiTheme="minorHAnsi" w:cstheme="minorBidi"/>
          <w:sz w:val="20"/>
          <w:szCs w:val="20"/>
          <w:lang w:val="pl-PL"/>
        </w:rPr>
        <w:t>s</w:t>
      </w:r>
      <w:r w:rsidR="00521B93">
        <w:rPr>
          <w:rFonts w:asciiTheme="minorHAnsi" w:eastAsiaTheme="minorHAnsi" w:hAnsiTheme="minorHAnsi" w:cstheme="minorBidi"/>
          <w:sz w:val="20"/>
          <w:szCs w:val="20"/>
          <w:lang w:val="pl-PL"/>
        </w:rPr>
        <w:t>ów</w:t>
      </w:r>
      <w:r w:rsidRPr="006C1CC6">
        <w:rPr>
          <w:rFonts w:asciiTheme="minorHAnsi" w:eastAsiaTheme="minorHAnsi" w:hAnsiTheme="minorHAnsi" w:cstheme="minorBidi"/>
          <w:sz w:val="20"/>
          <w:szCs w:val="20"/>
          <w:lang w:val="pl-PL"/>
        </w:rPr>
        <w:t xml:space="preserve"> Andreja Babiša, </w:t>
      </w:r>
      <w:r w:rsidR="0039580E">
        <w:rPr>
          <w:rFonts w:asciiTheme="minorHAnsi" w:eastAsiaTheme="minorHAnsi" w:hAnsiTheme="minorHAnsi" w:cstheme="minorBidi"/>
          <w:sz w:val="20"/>
          <w:szCs w:val="20"/>
          <w:lang w:val="pl-PL"/>
        </w:rPr>
        <w:t xml:space="preserve">a zarządzanego przez jego </w:t>
      </w:r>
      <w:r w:rsidRPr="006C1CC6">
        <w:rPr>
          <w:rFonts w:asciiTheme="minorHAnsi" w:eastAsiaTheme="minorHAnsi" w:hAnsiTheme="minorHAnsi" w:cstheme="minorBidi"/>
          <w:sz w:val="20"/>
          <w:szCs w:val="20"/>
          <w:lang w:val="pl-PL"/>
        </w:rPr>
        <w:t>współwłaściciela Jozefa Ja</w:t>
      </w:r>
      <w:r w:rsidR="0039580E">
        <w:rPr>
          <w:rFonts w:asciiTheme="minorHAnsi" w:eastAsiaTheme="minorHAnsi" w:hAnsiTheme="minorHAnsi" w:cstheme="minorBidi"/>
          <w:sz w:val="20"/>
          <w:szCs w:val="20"/>
          <w:lang w:val="pl-PL"/>
        </w:rPr>
        <w:t xml:space="preserve">nova (ex-Penta Investments PL) </w:t>
      </w:r>
      <w:r w:rsidRPr="006C1CC6">
        <w:rPr>
          <w:rFonts w:asciiTheme="minorHAnsi" w:eastAsiaTheme="minorHAnsi" w:hAnsiTheme="minorHAnsi" w:cstheme="minorBidi"/>
          <w:sz w:val="20"/>
          <w:szCs w:val="20"/>
          <w:lang w:val="pl-PL"/>
        </w:rPr>
        <w:t>i dysponuje kwotą 200 milionów EUR – dodaje.</w:t>
      </w:r>
    </w:p>
    <w:p w14:paraId="39B3D3A6" w14:textId="2357EBEB" w:rsidR="003E6E4D" w:rsidRPr="00767A46" w:rsidRDefault="003E6E4D" w:rsidP="003E6E4D">
      <w:pPr>
        <w:pStyle w:val="NormalnyWeb"/>
        <w:shd w:val="clear" w:color="auto" w:fill="FFFFFF"/>
        <w:spacing w:before="360" w:beforeAutospacing="0" w:after="0" w:afterAutospacing="0" w:line="253" w:lineRule="atLeast"/>
        <w:jc w:val="both"/>
        <w:rPr>
          <w:rFonts w:asciiTheme="minorHAnsi" w:eastAsiaTheme="minorHAnsi" w:hAnsiTheme="minorHAnsi" w:cstheme="minorBidi"/>
          <w:b/>
          <w:sz w:val="20"/>
          <w:szCs w:val="20"/>
          <w:lang w:val="pl-PL"/>
        </w:rPr>
      </w:pPr>
      <w:r w:rsidRPr="006C1CC6">
        <w:rPr>
          <w:rFonts w:asciiTheme="minorHAnsi" w:eastAsiaTheme="minorHAnsi" w:hAnsiTheme="minorHAnsi" w:cstheme="minorBidi"/>
          <w:sz w:val="20"/>
          <w:szCs w:val="20"/>
          <w:lang w:val="pl-PL"/>
        </w:rPr>
        <w:t xml:space="preserve">Niestety w Polsce świadomość przedsiębiorców w zakresie tego co fundusz PE może im zaoferować jest bardzo niska. </w:t>
      </w:r>
      <w:r w:rsidRPr="00767A46">
        <w:rPr>
          <w:rFonts w:asciiTheme="minorHAnsi" w:eastAsiaTheme="minorHAnsi" w:hAnsiTheme="minorHAnsi" w:cstheme="minorBidi"/>
          <w:i/>
          <w:sz w:val="20"/>
          <w:szCs w:val="20"/>
          <w:lang w:val="pl-PL"/>
        </w:rPr>
        <w:t xml:space="preserve">- Pokutuje przekonanie, że kapitał pozyskany z funduszu może być droższy niż z innych źródeł </w:t>
      </w:r>
      <w:r w:rsidRPr="006C1CC6">
        <w:rPr>
          <w:rFonts w:asciiTheme="minorHAnsi" w:eastAsiaTheme="minorHAnsi" w:hAnsiTheme="minorHAnsi" w:cstheme="minorBidi"/>
          <w:sz w:val="20"/>
          <w:szCs w:val="20"/>
          <w:lang w:val="pl-PL"/>
        </w:rPr>
        <w:t xml:space="preserve">- zaznacza </w:t>
      </w:r>
      <w:r w:rsidRPr="00767A46">
        <w:rPr>
          <w:rFonts w:asciiTheme="minorHAnsi" w:eastAsiaTheme="minorHAnsi" w:hAnsiTheme="minorHAnsi" w:cstheme="minorBidi"/>
          <w:b/>
          <w:sz w:val="20"/>
          <w:szCs w:val="20"/>
          <w:lang w:val="pl-PL"/>
        </w:rPr>
        <w:t xml:space="preserve">Marta Kotwis, Key Account Director w Datapoint. </w:t>
      </w:r>
      <w:r w:rsidRPr="00767A46">
        <w:rPr>
          <w:rFonts w:asciiTheme="minorHAnsi" w:hAnsiTheme="minorHAnsi"/>
          <w:i/>
          <w:sz w:val="20"/>
          <w:szCs w:val="20"/>
          <w:lang w:val="pl-PL"/>
        </w:rPr>
        <w:t>Z drugiej strony fundusze PE posiadają szereg niedokończonych inwestycji, które przeciągają się w czasie i tym samym spada ich zyskowność, a rentowność funduszy PE pogarsza się. Ilość skumulowanej gotówki na rynku zaostrza także konkurencję między funduszami. Dlatego też motywacja do nowych rentownych inwestycji będzie rosła. Klimatowi inwestycji sprzyja stan infrastruktury (m.in. odpowiednie regulacje prawne i podatkowe) dla PE/VC w CEE i jest porównywany do infrastruktury rynków rozwiniętych Europy Zachodniej, bardziej niż rynków rozwijających się. Polska na tle krajów CEE jest uważana za najatrakcyjniejszy rynek, z najprężniej działająca giełdą</w:t>
      </w:r>
      <w:r w:rsidRPr="006C1CC6">
        <w:rPr>
          <w:rFonts w:asciiTheme="minorHAnsi" w:hAnsiTheme="minorHAnsi"/>
          <w:sz w:val="20"/>
          <w:szCs w:val="20"/>
          <w:lang w:val="pl-PL"/>
        </w:rPr>
        <w:t xml:space="preserve"> – dodaje </w:t>
      </w:r>
      <w:r w:rsidRPr="00767A46">
        <w:rPr>
          <w:rFonts w:asciiTheme="minorHAnsi" w:hAnsiTheme="minorHAnsi"/>
          <w:b/>
          <w:sz w:val="20"/>
          <w:szCs w:val="20"/>
          <w:lang w:val="pl-PL"/>
        </w:rPr>
        <w:t xml:space="preserve">Marta Kotwis </w:t>
      </w:r>
      <w:r w:rsidR="0039580E" w:rsidRPr="00767A46">
        <w:rPr>
          <w:rFonts w:asciiTheme="minorHAnsi" w:hAnsiTheme="minorHAnsi"/>
          <w:b/>
          <w:sz w:val="20"/>
          <w:szCs w:val="20"/>
          <w:lang w:val="pl-PL"/>
        </w:rPr>
        <w:br/>
      </w:r>
      <w:r w:rsidRPr="00767A46">
        <w:rPr>
          <w:rFonts w:asciiTheme="minorHAnsi" w:hAnsiTheme="minorHAnsi"/>
          <w:b/>
          <w:sz w:val="20"/>
          <w:szCs w:val="20"/>
          <w:lang w:val="pl-PL"/>
        </w:rPr>
        <w:t>z Datapoint.</w:t>
      </w:r>
    </w:p>
    <w:p w14:paraId="03E1A4D4" w14:textId="77777777" w:rsidR="003E6E4D" w:rsidRDefault="003E6E4D" w:rsidP="00A12DD2">
      <w:pPr>
        <w:shd w:val="clear" w:color="auto" w:fill="FFFFFF"/>
        <w:jc w:val="both"/>
        <w:rPr>
          <w:rFonts w:cs="Arial"/>
          <w:b/>
          <w:sz w:val="20"/>
          <w:szCs w:val="20"/>
        </w:rPr>
      </w:pPr>
    </w:p>
    <w:p w14:paraId="02F5EC24" w14:textId="69F7DD86" w:rsidR="00AE6D13" w:rsidRDefault="00B32DC2" w:rsidP="00A12DD2">
      <w:pPr>
        <w:shd w:val="clear" w:color="auto" w:fill="FFFFFF"/>
        <w:jc w:val="both"/>
        <w:rPr>
          <w:rFonts w:cs="Arial"/>
          <w:sz w:val="20"/>
          <w:szCs w:val="20"/>
        </w:rPr>
      </w:pPr>
      <w:r w:rsidRPr="001D03BB">
        <w:rPr>
          <w:rFonts w:cs="Arial"/>
          <w:b/>
          <w:sz w:val="20"/>
          <w:szCs w:val="20"/>
        </w:rPr>
        <w:t xml:space="preserve">Datapoint </w:t>
      </w:r>
      <w:r w:rsidRPr="001D03BB">
        <w:rPr>
          <w:rFonts w:cs="Arial"/>
          <w:sz w:val="20"/>
          <w:szCs w:val="20"/>
        </w:rPr>
        <w:t xml:space="preserve">to  pionier na polskim rynku kapitałowym, który w oparciu o  technologię Virtual Data Room wspiera największe transakcje M&amp;A,  IPO,  inwestycje Private Equity, restrukturyzacje i prywatyzacje, w Polsce oraz </w:t>
      </w:r>
      <w:r w:rsidR="008317B7">
        <w:rPr>
          <w:rFonts w:cs="Arial"/>
          <w:sz w:val="20"/>
          <w:szCs w:val="20"/>
        </w:rPr>
        <w:br/>
      </w:r>
      <w:r w:rsidRPr="001D03BB">
        <w:rPr>
          <w:rFonts w:cs="Arial"/>
          <w:sz w:val="20"/>
          <w:szCs w:val="20"/>
        </w:rPr>
        <w:t>w innych krajach Europ</w:t>
      </w:r>
      <w:r w:rsidR="00802643">
        <w:rPr>
          <w:rFonts w:cs="Arial"/>
          <w:sz w:val="20"/>
          <w:szCs w:val="20"/>
        </w:rPr>
        <w:t>y Środkowej i Wschodniej. S</w:t>
      </w:r>
      <w:r w:rsidRPr="001D03BB">
        <w:rPr>
          <w:rFonts w:cs="Arial"/>
          <w:sz w:val="20"/>
          <w:szCs w:val="20"/>
        </w:rPr>
        <w:t xml:space="preserve">ystem </w:t>
      </w:r>
      <w:r w:rsidR="00802643">
        <w:rPr>
          <w:rFonts w:cs="Arial"/>
          <w:sz w:val="20"/>
          <w:szCs w:val="20"/>
        </w:rPr>
        <w:t xml:space="preserve">Datapoint VDR </w:t>
      </w:r>
      <w:r w:rsidRPr="001D03BB">
        <w:rPr>
          <w:rFonts w:cs="Arial"/>
          <w:sz w:val="20"/>
          <w:szCs w:val="20"/>
        </w:rPr>
        <w:t xml:space="preserve">podniósł bezpieczeństwo </w:t>
      </w:r>
      <w:r w:rsidR="008317B7">
        <w:rPr>
          <w:rFonts w:cs="Arial"/>
          <w:sz w:val="20"/>
          <w:szCs w:val="20"/>
        </w:rPr>
        <w:br/>
      </w:r>
      <w:r w:rsidRPr="001D03BB">
        <w:rPr>
          <w:rFonts w:cs="Arial"/>
          <w:sz w:val="20"/>
          <w:szCs w:val="20"/>
        </w:rPr>
        <w:t>i efektywność kilkuset transakcji o łącznej wartości ponad 2</w:t>
      </w:r>
      <w:r w:rsidR="000C72FD" w:rsidRPr="001D03BB">
        <w:rPr>
          <w:rFonts w:cs="Arial"/>
          <w:sz w:val="20"/>
          <w:szCs w:val="20"/>
        </w:rPr>
        <w:t>9</w:t>
      </w:r>
      <w:r w:rsidRPr="001D03BB">
        <w:rPr>
          <w:rFonts w:cs="Arial"/>
          <w:sz w:val="20"/>
          <w:szCs w:val="20"/>
        </w:rPr>
        <w:t xml:space="preserve"> mld złotych, przy których pracowało ponad 20 tysięcy osób z kilkuset niezależnych firm z całego świata. Naszym dążeniem jest identyfikowanie potrzeb </w:t>
      </w:r>
      <w:r w:rsidR="008317B7">
        <w:rPr>
          <w:rFonts w:cs="Arial"/>
          <w:sz w:val="20"/>
          <w:szCs w:val="20"/>
        </w:rPr>
        <w:br/>
      </w:r>
      <w:r w:rsidRPr="001D03BB">
        <w:rPr>
          <w:rFonts w:cs="Arial"/>
          <w:sz w:val="20"/>
          <w:szCs w:val="20"/>
        </w:rPr>
        <w:t xml:space="preserve">w zakresie bezpiecznego zarządzania poufnymi dokumentami wśród konkretnych branż i zaspokajanie ich </w:t>
      </w:r>
      <w:r w:rsidR="008317B7">
        <w:rPr>
          <w:rFonts w:cs="Arial"/>
          <w:sz w:val="20"/>
          <w:szCs w:val="20"/>
        </w:rPr>
        <w:br/>
      </w:r>
      <w:r w:rsidRPr="001D03BB">
        <w:rPr>
          <w:rFonts w:cs="Arial"/>
          <w:sz w:val="20"/>
          <w:szCs w:val="20"/>
        </w:rPr>
        <w:t>w oparciu o technologię Virtual Data Room. Z usługi DATAPOINT korzystają liderzy branż w Polsce i za granicą,</w:t>
      </w:r>
      <w:r w:rsidRPr="001D03BB">
        <w:rPr>
          <w:rStyle w:val="apple-converted-space"/>
          <w:rFonts w:cs="Arial"/>
          <w:sz w:val="20"/>
          <w:szCs w:val="20"/>
        </w:rPr>
        <w:t> </w:t>
      </w:r>
      <w:r w:rsidR="00535D5D">
        <w:rPr>
          <w:rFonts w:cs="Arial"/>
          <w:sz w:val="20"/>
          <w:szCs w:val="20"/>
        </w:rPr>
        <w:t>m.in.</w:t>
      </w:r>
      <w:r w:rsidRPr="001D03BB">
        <w:rPr>
          <w:rFonts w:cs="Arial"/>
          <w:sz w:val="20"/>
          <w:szCs w:val="20"/>
        </w:rPr>
        <w:t xml:space="preserve"> fundusz Private Equity Enterprise Investors, NFI Empik, ZELMER, Bank DNB, BOŚ Bank, Polimex </w:t>
      </w:r>
      <w:r w:rsidRPr="001D03BB">
        <w:rPr>
          <w:rFonts w:cs="Arial"/>
          <w:sz w:val="20"/>
          <w:szCs w:val="20"/>
        </w:rPr>
        <w:lastRenderedPageBreak/>
        <w:t>Mostostal, Budimex, Dom Maklerski PKO Banku Polskiego, Deloitte Advisory, Ernst&amp;Young Corporate Finance, KPMG Advisory, Śnieżka, Enea, JSW</w:t>
      </w:r>
      <w:r w:rsidR="0073751F" w:rsidRPr="001D03BB">
        <w:rPr>
          <w:rFonts w:cs="Arial"/>
          <w:sz w:val="20"/>
          <w:szCs w:val="20"/>
        </w:rPr>
        <w:t>, Espirito Santo Investment Bank</w:t>
      </w:r>
      <w:r w:rsidRPr="001D03BB">
        <w:rPr>
          <w:rFonts w:cs="Arial"/>
          <w:sz w:val="20"/>
          <w:szCs w:val="20"/>
        </w:rPr>
        <w:t xml:space="preserve"> oraz wiele innych.</w:t>
      </w:r>
    </w:p>
    <w:p w14:paraId="6E212007" w14:textId="32D63175" w:rsidR="00767A46" w:rsidRPr="00767A46" w:rsidRDefault="00767A46" w:rsidP="00A12DD2">
      <w:pPr>
        <w:shd w:val="clear" w:color="auto" w:fill="FFFFFF"/>
        <w:jc w:val="both"/>
        <w:rPr>
          <w:rFonts w:cs="Arial"/>
          <w:b/>
          <w:sz w:val="20"/>
          <w:szCs w:val="20"/>
        </w:rPr>
      </w:pPr>
      <w:r w:rsidRPr="00767A46">
        <w:rPr>
          <w:rFonts w:cs="Arial"/>
          <w:b/>
          <w:sz w:val="20"/>
          <w:szCs w:val="20"/>
        </w:rPr>
        <w:t xml:space="preserve">We wrześniu 2014 r spółka zmieniła nazwę na FORDATA, więcej: </w:t>
      </w:r>
      <w:hyperlink r:id="rId9" w:history="1">
        <w:r w:rsidRPr="00767A46">
          <w:rPr>
            <w:rStyle w:val="Hipercze"/>
            <w:rFonts w:cs="Arial"/>
            <w:b/>
            <w:sz w:val="20"/>
            <w:szCs w:val="20"/>
          </w:rPr>
          <w:t>www.fordata.pl</w:t>
        </w:r>
      </w:hyperlink>
    </w:p>
    <w:p w14:paraId="159D0884" w14:textId="1B43E972" w:rsidR="00AE6D13" w:rsidRDefault="00AE6D13" w:rsidP="00AE6D13">
      <w:pPr>
        <w:shd w:val="clear" w:color="auto" w:fill="FFFFFF"/>
        <w:spacing w:line="240" w:lineRule="auto"/>
        <w:jc w:val="both"/>
        <w:rPr>
          <w:sz w:val="20"/>
        </w:rPr>
      </w:pPr>
      <w:r w:rsidRPr="007535B2">
        <w:rPr>
          <w:rFonts w:cs="Arial"/>
          <w:b/>
          <w:sz w:val="20"/>
          <w:szCs w:val="20"/>
        </w:rPr>
        <w:t xml:space="preserve">DATAPOINT Virtual Data </w:t>
      </w:r>
      <w:proofErr w:type="spellStart"/>
      <w:r w:rsidRPr="007535B2">
        <w:rPr>
          <w:rFonts w:cs="Arial"/>
          <w:b/>
          <w:sz w:val="20"/>
          <w:szCs w:val="20"/>
        </w:rPr>
        <w:t>Room</w:t>
      </w:r>
      <w:proofErr w:type="spellEnd"/>
      <w:r>
        <w:rPr>
          <w:rFonts w:cs="Arial"/>
          <w:b/>
          <w:sz w:val="20"/>
          <w:szCs w:val="20"/>
        </w:rPr>
        <w:t xml:space="preserve"> (</w:t>
      </w:r>
      <w:r w:rsidR="00802BEA">
        <w:rPr>
          <w:rFonts w:cs="Arial"/>
          <w:b/>
          <w:sz w:val="20"/>
          <w:szCs w:val="20"/>
        </w:rPr>
        <w:t xml:space="preserve">DATAPOINT </w:t>
      </w:r>
      <w:r>
        <w:rPr>
          <w:rFonts w:cs="Arial"/>
          <w:b/>
          <w:sz w:val="20"/>
          <w:szCs w:val="20"/>
        </w:rPr>
        <w:t>VDR)</w:t>
      </w:r>
      <w:r w:rsidRPr="007535B2">
        <w:rPr>
          <w:rFonts w:cs="Arial"/>
          <w:b/>
          <w:sz w:val="20"/>
          <w:szCs w:val="20"/>
        </w:rPr>
        <w:t xml:space="preserve"> </w:t>
      </w:r>
      <w:r>
        <w:rPr>
          <w:sz w:val="20"/>
        </w:rPr>
        <w:t xml:space="preserve">to </w:t>
      </w:r>
      <w:r w:rsidRPr="00DD53BB">
        <w:rPr>
          <w:sz w:val="20"/>
        </w:rPr>
        <w:t>system informatyczny</w:t>
      </w:r>
      <w:r>
        <w:rPr>
          <w:sz w:val="20"/>
        </w:rPr>
        <w:t xml:space="preserve"> dostępny przez Internet, który służy do wymiany poufnych dokumentów pomiędzy firmami. Najczęściej jest wykorzystywany w celu umożliwienia firmom doradczym analizy</w:t>
      </w:r>
      <w:r w:rsidRPr="00DD53BB">
        <w:rPr>
          <w:sz w:val="20"/>
        </w:rPr>
        <w:t xml:space="preserve"> dokumentacji spółki wystawionej na sprzedaż </w:t>
      </w:r>
      <w:r>
        <w:rPr>
          <w:sz w:val="20"/>
        </w:rPr>
        <w:t xml:space="preserve">(w transakcjach fuzji </w:t>
      </w:r>
      <w:r w:rsidR="008317B7">
        <w:rPr>
          <w:sz w:val="20"/>
        </w:rPr>
        <w:br/>
      </w:r>
      <w:r>
        <w:rPr>
          <w:sz w:val="20"/>
        </w:rPr>
        <w:t>i przejęć, na etapie Due Diligence).</w:t>
      </w:r>
      <w:r w:rsidRPr="00DD53BB">
        <w:rPr>
          <w:sz w:val="20"/>
        </w:rPr>
        <w:t xml:space="preserve"> </w:t>
      </w:r>
      <w:r>
        <w:rPr>
          <w:sz w:val="20"/>
        </w:rPr>
        <w:t>Jego celem jest zwiększenie efektywności negocjacji, a</w:t>
      </w:r>
      <w:r w:rsidR="008317B7">
        <w:rPr>
          <w:sz w:val="20"/>
        </w:rPr>
        <w:t xml:space="preserve"> także</w:t>
      </w:r>
      <w:r>
        <w:rPr>
          <w:sz w:val="20"/>
        </w:rPr>
        <w:t xml:space="preserve"> zagwarantowanie bezpieczeństwa poufnych dokumentów udostępnianych drugiej stronie transakcji. </w:t>
      </w:r>
      <w:r w:rsidRPr="008317B7">
        <w:rPr>
          <w:b/>
          <w:sz w:val="20"/>
        </w:rPr>
        <w:t>DATAPOINT VDR PRO</w:t>
      </w:r>
      <w:r>
        <w:rPr>
          <w:sz w:val="20"/>
        </w:rPr>
        <w:t xml:space="preserve"> to nowa odsłona </w:t>
      </w:r>
      <w:r w:rsidR="00802BEA">
        <w:rPr>
          <w:sz w:val="20"/>
        </w:rPr>
        <w:t>systemu</w:t>
      </w:r>
      <w:r>
        <w:rPr>
          <w:sz w:val="20"/>
        </w:rPr>
        <w:t>, której celem jest zwiększenie komfortu pracy firm doradczych zaangażowanych w wiele transakcji M&amp;A, a także odpowiedzenie na potrzeby innych segmentów rynku, takich jak m.in. fundusze Private Equity, Venture Capital, Seed czy fundusze zarządzające nieruchomościami komercyjnymi.</w:t>
      </w:r>
    </w:p>
    <w:p w14:paraId="2F70CE09" w14:textId="6E481002" w:rsidR="00AE6D13" w:rsidRPr="001D03BB" w:rsidRDefault="006C1CC6" w:rsidP="00A12DD2">
      <w:pPr>
        <w:shd w:val="clear" w:color="auto" w:fill="FFFFFF"/>
        <w:jc w:val="both"/>
        <w:rPr>
          <w:rFonts w:cs="Arial"/>
          <w:sz w:val="20"/>
          <w:szCs w:val="20"/>
        </w:rPr>
      </w:pPr>
      <w:r w:rsidRPr="006C1CC6">
        <w:rPr>
          <w:rFonts w:cs="Arial"/>
          <w:b/>
          <w:sz w:val="20"/>
          <w:szCs w:val="20"/>
        </w:rPr>
        <w:t>ALG A</w:t>
      </w:r>
      <w:r w:rsidR="00521B93">
        <w:rPr>
          <w:rFonts w:cs="Arial"/>
          <w:b/>
          <w:sz w:val="20"/>
          <w:szCs w:val="20"/>
        </w:rPr>
        <w:t>DVISORY</w:t>
      </w:r>
      <w:r w:rsidRPr="006C1CC6">
        <w:rPr>
          <w:rFonts w:cs="Arial"/>
          <w:sz w:val="20"/>
          <w:szCs w:val="20"/>
        </w:rPr>
        <w:t xml:space="preserve"> to wyspecjalizowany doradca korporacyjny</w:t>
      </w:r>
      <w:r w:rsidR="00535D5D">
        <w:rPr>
          <w:rFonts w:cs="Arial"/>
          <w:sz w:val="20"/>
          <w:szCs w:val="20"/>
        </w:rPr>
        <w:t xml:space="preserve">. Jego klienci działają </w:t>
      </w:r>
      <w:r w:rsidR="0039580E">
        <w:rPr>
          <w:rFonts w:cs="Arial"/>
          <w:sz w:val="20"/>
          <w:szCs w:val="20"/>
        </w:rPr>
        <w:t xml:space="preserve">w regionie </w:t>
      </w:r>
      <w:r w:rsidRPr="006C1CC6">
        <w:rPr>
          <w:rFonts w:cs="Arial"/>
          <w:sz w:val="20"/>
          <w:szCs w:val="20"/>
        </w:rPr>
        <w:t>CEE. Specjalizuje się w realizacji projektów z zakresu (re)formułowania strategii przedsiębiorstw, restrukturyzacji oraz business development, w tym w projekt</w:t>
      </w:r>
      <w:r w:rsidR="00521B93">
        <w:rPr>
          <w:rFonts w:cs="Arial"/>
          <w:sz w:val="20"/>
          <w:szCs w:val="20"/>
        </w:rPr>
        <w:t>ach</w:t>
      </w:r>
      <w:r w:rsidRPr="006C1CC6">
        <w:rPr>
          <w:rFonts w:cs="Arial"/>
          <w:sz w:val="20"/>
          <w:szCs w:val="20"/>
        </w:rPr>
        <w:t xml:space="preserve"> typu: Vendor Due Diligence oraz podnoszenia konkurencyjności firmy przed przystąpieniem do negocjacji z inwestorem, sprzedaży zorganizowanej części przedsiębiorstwa, fuzji i przejęć oraz polepszania sprawności przedsiębiorstw na etapie post-merger.</w:t>
      </w:r>
    </w:p>
    <w:p w14:paraId="71EB4CBE" w14:textId="77777777" w:rsidR="00A12DD2" w:rsidRPr="00767A46" w:rsidRDefault="00056160" w:rsidP="00A12DD2">
      <w:pPr>
        <w:spacing w:line="240" w:lineRule="auto"/>
        <w:jc w:val="both"/>
        <w:rPr>
          <w:b/>
          <w:sz w:val="20"/>
          <w:szCs w:val="20"/>
        </w:rPr>
      </w:pPr>
      <w:r w:rsidRPr="00767A46">
        <w:rPr>
          <w:b/>
          <w:sz w:val="20"/>
          <w:szCs w:val="20"/>
        </w:rPr>
        <w:t>Kontakt dla mediów</w:t>
      </w:r>
      <w:r w:rsidR="00633C0E" w:rsidRPr="00767A46">
        <w:rPr>
          <w:b/>
          <w:sz w:val="20"/>
          <w:szCs w:val="20"/>
        </w:rPr>
        <w:t>:</w:t>
      </w:r>
    </w:p>
    <w:p w14:paraId="6AEC1C57" w14:textId="77777777" w:rsidR="00056160" w:rsidRPr="001D03BB" w:rsidRDefault="00056160" w:rsidP="00A12DD2">
      <w:pPr>
        <w:spacing w:line="240" w:lineRule="auto"/>
        <w:jc w:val="both"/>
        <w:rPr>
          <w:sz w:val="20"/>
          <w:szCs w:val="20"/>
        </w:rPr>
      </w:pPr>
      <w:r w:rsidRPr="001D03BB">
        <w:rPr>
          <w:sz w:val="20"/>
          <w:szCs w:val="20"/>
        </w:rPr>
        <w:t>Aleksandra Prusator</w:t>
      </w:r>
      <w:r w:rsidR="00633C0E" w:rsidRPr="001D03BB">
        <w:rPr>
          <w:sz w:val="20"/>
          <w:szCs w:val="20"/>
        </w:rPr>
        <w:t>,</w:t>
      </w:r>
      <w:r w:rsidR="00590C92" w:rsidRPr="001D03BB">
        <w:rPr>
          <w:sz w:val="20"/>
          <w:szCs w:val="20"/>
        </w:rPr>
        <w:t xml:space="preserve"> </w:t>
      </w:r>
      <w:r w:rsidRPr="001D03BB">
        <w:rPr>
          <w:sz w:val="20"/>
          <w:szCs w:val="20"/>
        </w:rPr>
        <w:t>e-mail: aleksandra.prusator@datapoint.pl tel: 506 044 056</w:t>
      </w:r>
    </w:p>
    <w:p w14:paraId="7F08379A" w14:textId="77777777" w:rsidR="00C15C31" w:rsidRPr="001D03BB" w:rsidRDefault="00056160" w:rsidP="00A12DD2">
      <w:pPr>
        <w:spacing w:line="240" w:lineRule="auto"/>
        <w:jc w:val="both"/>
        <w:rPr>
          <w:sz w:val="20"/>
          <w:szCs w:val="20"/>
          <w:lang w:val="en-US"/>
        </w:rPr>
      </w:pPr>
      <w:r w:rsidRPr="001D03BB">
        <w:rPr>
          <w:sz w:val="20"/>
          <w:szCs w:val="20"/>
          <w:lang w:val="en-US"/>
        </w:rPr>
        <w:t>Beata Milewicz</w:t>
      </w:r>
      <w:r w:rsidR="00633C0E" w:rsidRPr="001D03BB">
        <w:rPr>
          <w:sz w:val="20"/>
          <w:szCs w:val="20"/>
          <w:lang w:val="en-US"/>
        </w:rPr>
        <w:t>,</w:t>
      </w:r>
      <w:r w:rsidRPr="001D03BB">
        <w:rPr>
          <w:sz w:val="20"/>
          <w:szCs w:val="20"/>
          <w:lang w:val="en-US"/>
        </w:rPr>
        <w:t xml:space="preserve"> </w:t>
      </w:r>
      <w:r w:rsidR="00590C92" w:rsidRPr="001D03BB">
        <w:rPr>
          <w:sz w:val="20"/>
          <w:szCs w:val="20"/>
          <w:lang w:val="en-US"/>
        </w:rPr>
        <w:t xml:space="preserve"> </w:t>
      </w:r>
      <w:r w:rsidRPr="001D03BB">
        <w:rPr>
          <w:sz w:val="20"/>
          <w:szCs w:val="20"/>
          <w:lang w:val="en-US"/>
        </w:rPr>
        <w:t>e-mail: beata</w:t>
      </w:r>
      <w:bookmarkStart w:id="0" w:name="_GoBack"/>
      <w:bookmarkEnd w:id="0"/>
      <w:r w:rsidRPr="001D03BB">
        <w:rPr>
          <w:sz w:val="20"/>
          <w:szCs w:val="20"/>
          <w:lang w:val="en-US"/>
        </w:rPr>
        <w:t>.milewicz@secretservices.pl tel: 508 051 138</w:t>
      </w:r>
    </w:p>
    <w:sectPr w:rsidR="00C15C31" w:rsidRPr="001D03BB" w:rsidSect="0085713D">
      <w:headerReference w:type="default" r:id="rId10"/>
      <w:footerReference w:type="default" r:id="rId11"/>
      <w:pgSz w:w="11906" w:h="16838"/>
      <w:pgMar w:top="1417" w:right="1417" w:bottom="1417" w:left="141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B75B" w14:textId="77777777" w:rsidR="006A4F1F" w:rsidRDefault="006A4F1F" w:rsidP="00EB0585">
      <w:pPr>
        <w:spacing w:after="0" w:line="240" w:lineRule="auto"/>
      </w:pPr>
      <w:r>
        <w:separator/>
      </w:r>
    </w:p>
  </w:endnote>
  <w:endnote w:type="continuationSeparator" w:id="0">
    <w:p w14:paraId="28DEEC52" w14:textId="77777777" w:rsidR="006A4F1F" w:rsidRDefault="006A4F1F" w:rsidP="00E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FEEE" w14:textId="77777777" w:rsidR="0039580E" w:rsidRPr="009360A2" w:rsidRDefault="0039580E">
    <w:pPr>
      <w:pStyle w:val="Stopka"/>
      <w:jc w:val="right"/>
      <w:rPr>
        <w:rFonts w:ascii="Verdana" w:hAnsi="Verdana"/>
        <w:sz w:val="20"/>
      </w:rPr>
    </w:pPr>
    <w:r w:rsidRPr="009360A2">
      <w:rPr>
        <w:rFonts w:ascii="Verdana" w:hAnsi="Verdana"/>
        <w:sz w:val="20"/>
      </w:rPr>
      <w:t>www.datapoint.pl</w:t>
    </w:r>
    <w:r w:rsidRPr="009360A2">
      <w:rPr>
        <w:rFonts w:ascii="Verdana" w:hAnsi="Verdana"/>
        <w:sz w:val="20"/>
      </w:rPr>
      <w:tab/>
    </w:r>
    <w:r w:rsidRPr="009360A2">
      <w:rPr>
        <w:rFonts w:ascii="Verdana" w:hAnsi="Verdana"/>
        <w:sz w:val="20"/>
      </w:rPr>
      <w:tab/>
    </w:r>
    <w:r w:rsidRPr="009360A2">
      <w:rPr>
        <w:rFonts w:ascii="Verdana" w:hAnsi="Verdana"/>
        <w:sz w:val="18"/>
      </w:rPr>
      <w:t xml:space="preserve">Strona </w:t>
    </w:r>
    <w:r w:rsidRPr="009360A2">
      <w:rPr>
        <w:rFonts w:ascii="Verdana" w:hAnsi="Verdana"/>
        <w:b/>
        <w:sz w:val="20"/>
        <w:szCs w:val="24"/>
      </w:rPr>
      <w:fldChar w:fldCharType="begin"/>
    </w:r>
    <w:r w:rsidRPr="009360A2">
      <w:rPr>
        <w:rFonts w:ascii="Verdana" w:hAnsi="Verdana"/>
        <w:b/>
        <w:sz w:val="18"/>
      </w:rPr>
      <w:instrText>PAGE</w:instrText>
    </w:r>
    <w:r w:rsidRPr="009360A2">
      <w:rPr>
        <w:rFonts w:ascii="Verdana" w:hAnsi="Verdana"/>
        <w:b/>
        <w:sz w:val="20"/>
        <w:szCs w:val="24"/>
      </w:rPr>
      <w:fldChar w:fldCharType="separate"/>
    </w:r>
    <w:r w:rsidR="00767A46">
      <w:rPr>
        <w:rFonts w:ascii="Verdana" w:hAnsi="Verdana"/>
        <w:b/>
        <w:noProof/>
        <w:sz w:val="18"/>
      </w:rPr>
      <w:t>2</w:t>
    </w:r>
    <w:r w:rsidRPr="009360A2">
      <w:rPr>
        <w:rFonts w:ascii="Verdana" w:hAnsi="Verdana"/>
        <w:b/>
        <w:sz w:val="20"/>
        <w:szCs w:val="24"/>
      </w:rPr>
      <w:fldChar w:fldCharType="end"/>
    </w:r>
    <w:r w:rsidRPr="009360A2">
      <w:rPr>
        <w:rFonts w:ascii="Verdana" w:hAnsi="Verdana"/>
        <w:sz w:val="18"/>
      </w:rPr>
      <w:t xml:space="preserve"> z </w:t>
    </w:r>
    <w:r w:rsidRPr="009360A2">
      <w:rPr>
        <w:rFonts w:ascii="Verdana" w:hAnsi="Verdana"/>
        <w:b/>
        <w:sz w:val="20"/>
        <w:szCs w:val="24"/>
      </w:rPr>
      <w:fldChar w:fldCharType="begin"/>
    </w:r>
    <w:r w:rsidRPr="009360A2">
      <w:rPr>
        <w:rFonts w:ascii="Verdana" w:hAnsi="Verdana"/>
        <w:b/>
        <w:sz w:val="18"/>
      </w:rPr>
      <w:instrText>NUMPAGES</w:instrText>
    </w:r>
    <w:r w:rsidRPr="009360A2">
      <w:rPr>
        <w:rFonts w:ascii="Verdana" w:hAnsi="Verdana"/>
        <w:b/>
        <w:sz w:val="20"/>
        <w:szCs w:val="24"/>
      </w:rPr>
      <w:fldChar w:fldCharType="separate"/>
    </w:r>
    <w:r w:rsidR="00767A46">
      <w:rPr>
        <w:rFonts w:ascii="Verdana" w:hAnsi="Verdana"/>
        <w:b/>
        <w:noProof/>
        <w:sz w:val="18"/>
      </w:rPr>
      <w:t>2</w:t>
    </w:r>
    <w:r w:rsidRPr="009360A2">
      <w:rPr>
        <w:rFonts w:ascii="Verdana" w:hAnsi="Verdana"/>
        <w:b/>
        <w:sz w:val="20"/>
        <w:szCs w:val="24"/>
      </w:rPr>
      <w:fldChar w:fldCharType="end"/>
    </w:r>
  </w:p>
  <w:p w14:paraId="689AE92B" w14:textId="77777777" w:rsidR="0039580E" w:rsidRPr="009360A2" w:rsidRDefault="0039580E" w:rsidP="00D52404">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5360" w14:textId="77777777" w:rsidR="006A4F1F" w:rsidRDefault="006A4F1F" w:rsidP="00EB0585">
      <w:pPr>
        <w:spacing w:after="0" w:line="240" w:lineRule="auto"/>
      </w:pPr>
      <w:r>
        <w:separator/>
      </w:r>
    </w:p>
  </w:footnote>
  <w:footnote w:type="continuationSeparator" w:id="0">
    <w:p w14:paraId="1869D18D" w14:textId="77777777" w:rsidR="006A4F1F" w:rsidRDefault="006A4F1F" w:rsidP="00EB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B229" w14:textId="77777777" w:rsidR="0039580E" w:rsidRDefault="0039580E" w:rsidP="0085713D">
    <w:pPr>
      <w:pStyle w:val="Nagwek"/>
      <w:ind w:hanging="284"/>
    </w:pPr>
    <w:r>
      <w:rPr>
        <w:noProof/>
        <w:lang w:eastAsia="pl-PL"/>
      </w:rPr>
      <w:drawing>
        <wp:inline distT="0" distB="0" distL="0" distR="0" wp14:anchorId="77876AA4" wp14:editId="21130E97">
          <wp:extent cx="2333625" cy="7905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t="29091" b="25700"/>
                  <a:stretch>
                    <a:fillRect/>
                  </a:stretch>
                </pic:blipFill>
                <pic:spPr bwMode="auto">
                  <a:xfrm>
                    <a:off x="0" y="0"/>
                    <a:ext cx="23336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5A4"/>
    <w:multiLevelType w:val="hybridMultilevel"/>
    <w:tmpl w:val="B1EA148C"/>
    <w:lvl w:ilvl="0" w:tplc="730ABD7C">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1338F"/>
    <w:multiLevelType w:val="hybridMultilevel"/>
    <w:tmpl w:val="334AFB12"/>
    <w:lvl w:ilvl="0" w:tplc="F7041C84">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B5"/>
    <w:rsid w:val="00001033"/>
    <w:rsid w:val="000025D6"/>
    <w:rsid w:val="00011264"/>
    <w:rsid w:val="000161EE"/>
    <w:rsid w:val="00016A45"/>
    <w:rsid w:val="000229F1"/>
    <w:rsid w:val="0002349E"/>
    <w:rsid w:val="00023B7A"/>
    <w:rsid w:val="00033E8E"/>
    <w:rsid w:val="0003695E"/>
    <w:rsid w:val="000371D4"/>
    <w:rsid w:val="00042888"/>
    <w:rsid w:val="000509BC"/>
    <w:rsid w:val="00054A8C"/>
    <w:rsid w:val="00056160"/>
    <w:rsid w:val="00061FD5"/>
    <w:rsid w:val="00062FC0"/>
    <w:rsid w:val="00067831"/>
    <w:rsid w:val="000736FA"/>
    <w:rsid w:val="00076D86"/>
    <w:rsid w:val="000819F7"/>
    <w:rsid w:val="0008707E"/>
    <w:rsid w:val="00087701"/>
    <w:rsid w:val="000907F1"/>
    <w:rsid w:val="00092B9D"/>
    <w:rsid w:val="0009300B"/>
    <w:rsid w:val="00096164"/>
    <w:rsid w:val="000972D8"/>
    <w:rsid w:val="000A399A"/>
    <w:rsid w:val="000A60E8"/>
    <w:rsid w:val="000B0F86"/>
    <w:rsid w:val="000B2CFF"/>
    <w:rsid w:val="000B4F15"/>
    <w:rsid w:val="000B51FD"/>
    <w:rsid w:val="000B60E0"/>
    <w:rsid w:val="000B63AB"/>
    <w:rsid w:val="000C72FD"/>
    <w:rsid w:val="000D7FD4"/>
    <w:rsid w:val="000E1EE9"/>
    <w:rsid w:val="000E266E"/>
    <w:rsid w:val="000E30F2"/>
    <w:rsid w:val="00101D73"/>
    <w:rsid w:val="0010554C"/>
    <w:rsid w:val="0010694B"/>
    <w:rsid w:val="00113A02"/>
    <w:rsid w:val="00115A52"/>
    <w:rsid w:val="00116E00"/>
    <w:rsid w:val="00122FC1"/>
    <w:rsid w:val="001268DE"/>
    <w:rsid w:val="0012696A"/>
    <w:rsid w:val="00137498"/>
    <w:rsid w:val="00137AAA"/>
    <w:rsid w:val="00140B83"/>
    <w:rsid w:val="001432F3"/>
    <w:rsid w:val="0014442E"/>
    <w:rsid w:val="001478B3"/>
    <w:rsid w:val="00150AAA"/>
    <w:rsid w:val="00156631"/>
    <w:rsid w:val="001617D8"/>
    <w:rsid w:val="00172E0C"/>
    <w:rsid w:val="00194AF5"/>
    <w:rsid w:val="001A30E3"/>
    <w:rsid w:val="001A4738"/>
    <w:rsid w:val="001A48CA"/>
    <w:rsid w:val="001B7EFC"/>
    <w:rsid w:val="001C14FE"/>
    <w:rsid w:val="001C1771"/>
    <w:rsid w:val="001C1790"/>
    <w:rsid w:val="001C18A9"/>
    <w:rsid w:val="001D03BB"/>
    <w:rsid w:val="001D2E51"/>
    <w:rsid w:val="001D4A1E"/>
    <w:rsid w:val="001E3A5F"/>
    <w:rsid w:val="001F1A48"/>
    <w:rsid w:val="001F2554"/>
    <w:rsid w:val="002016D1"/>
    <w:rsid w:val="002044CF"/>
    <w:rsid w:val="0023065C"/>
    <w:rsid w:val="0023784F"/>
    <w:rsid w:val="00257418"/>
    <w:rsid w:val="00261CAD"/>
    <w:rsid w:val="0026566D"/>
    <w:rsid w:val="00267269"/>
    <w:rsid w:val="00271488"/>
    <w:rsid w:val="00272879"/>
    <w:rsid w:val="002749EB"/>
    <w:rsid w:val="0028025A"/>
    <w:rsid w:val="00281CE4"/>
    <w:rsid w:val="00293084"/>
    <w:rsid w:val="002A0476"/>
    <w:rsid w:val="002A2652"/>
    <w:rsid w:val="002A6F13"/>
    <w:rsid w:val="002B34DA"/>
    <w:rsid w:val="002B4059"/>
    <w:rsid w:val="002B6054"/>
    <w:rsid w:val="002C050F"/>
    <w:rsid w:val="002C650D"/>
    <w:rsid w:val="002C66C7"/>
    <w:rsid w:val="002C6A85"/>
    <w:rsid w:val="002D4DDA"/>
    <w:rsid w:val="002D61BC"/>
    <w:rsid w:val="002E05E4"/>
    <w:rsid w:val="002E0A5D"/>
    <w:rsid w:val="002E391B"/>
    <w:rsid w:val="002E59D2"/>
    <w:rsid w:val="002F0662"/>
    <w:rsid w:val="002F162D"/>
    <w:rsid w:val="002F39F9"/>
    <w:rsid w:val="002F44A0"/>
    <w:rsid w:val="00303BE3"/>
    <w:rsid w:val="00305BC5"/>
    <w:rsid w:val="00347014"/>
    <w:rsid w:val="00351B81"/>
    <w:rsid w:val="003735EC"/>
    <w:rsid w:val="00386B0D"/>
    <w:rsid w:val="0039023E"/>
    <w:rsid w:val="0039026C"/>
    <w:rsid w:val="003904E7"/>
    <w:rsid w:val="00391964"/>
    <w:rsid w:val="0039505C"/>
    <w:rsid w:val="0039580E"/>
    <w:rsid w:val="003A037A"/>
    <w:rsid w:val="003A280B"/>
    <w:rsid w:val="003A5C8D"/>
    <w:rsid w:val="003B6633"/>
    <w:rsid w:val="003C1587"/>
    <w:rsid w:val="003C3698"/>
    <w:rsid w:val="003C3DE9"/>
    <w:rsid w:val="003D532E"/>
    <w:rsid w:val="003D5C30"/>
    <w:rsid w:val="003E2BC7"/>
    <w:rsid w:val="003E2ED9"/>
    <w:rsid w:val="003E6E4D"/>
    <w:rsid w:val="003E7E4F"/>
    <w:rsid w:val="003F1B58"/>
    <w:rsid w:val="003F3487"/>
    <w:rsid w:val="003F35CE"/>
    <w:rsid w:val="0041199E"/>
    <w:rsid w:val="004124BB"/>
    <w:rsid w:val="0041510C"/>
    <w:rsid w:val="0041518E"/>
    <w:rsid w:val="00421D1C"/>
    <w:rsid w:val="00423A0D"/>
    <w:rsid w:val="00424A3C"/>
    <w:rsid w:val="00425185"/>
    <w:rsid w:val="00425D18"/>
    <w:rsid w:val="004359BC"/>
    <w:rsid w:val="00437B34"/>
    <w:rsid w:val="00437F0C"/>
    <w:rsid w:val="00441D16"/>
    <w:rsid w:val="00441E4D"/>
    <w:rsid w:val="0044585D"/>
    <w:rsid w:val="00445CF1"/>
    <w:rsid w:val="0044602B"/>
    <w:rsid w:val="00453308"/>
    <w:rsid w:val="00462A85"/>
    <w:rsid w:val="00463C70"/>
    <w:rsid w:val="00464594"/>
    <w:rsid w:val="00473DB9"/>
    <w:rsid w:val="00474CC3"/>
    <w:rsid w:val="00477C61"/>
    <w:rsid w:val="00482154"/>
    <w:rsid w:val="00484A24"/>
    <w:rsid w:val="00491D85"/>
    <w:rsid w:val="004964B6"/>
    <w:rsid w:val="004B3488"/>
    <w:rsid w:val="004C6248"/>
    <w:rsid w:val="004D272D"/>
    <w:rsid w:val="004D29AA"/>
    <w:rsid w:val="004D5E89"/>
    <w:rsid w:val="004D5E8B"/>
    <w:rsid w:val="004E76A5"/>
    <w:rsid w:val="004E7BC9"/>
    <w:rsid w:val="004F0CB5"/>
    <w:rsid w:val="004F2EDA"/>
    <w:rsid w:val="004F4436"/>
    <w:rsid w:val="005074E8"/>
    <w:rsid w:val="00511F29"/>
    <w:rsid w:val="005135B8"/>
    <w:rsid w:val="005158B3"/>
    <w:rsid w:val="005208D2"/>
    <w:rsid w:val="00521B93"/>
    <w:rsid w:val="0052381D"/>
    <w:rsid w:val="00531AD0"/>
    <w:rsid w:val="00535BE8"/>
    <w:rsid w:val="00535D5D"/>
    <w:rsid w:val="00536CD7"/>
    <w:rsid w:val="005417B3"/>
    <w:rsid w:val="00543F93"/>
    <w:rsid w:val="00545CCD"/>
    <w:rsid w:val="00546D53"/>
    <w:rsid w:val="00551880"/>
    <w:rsid w:val="00551B5D"/>
    <w:rsid w:val="00554AA1"/>
    <w:rsid w:val="0055634A"/>
    <w:rsid w:val="00565982"/>
    <w:rsid w:val="00570ECC"/>
    <w:rsid w:val="00580E18"/>
    <w:rsid w:val="00581C98"/>
    <w:rsid w:val="00583A7A"/>
    <w:rsid w:val="00586452"/>
    <w:rsid w:val="00587388"/>
    <w:rsid w:val="0058740B"/>
    <w:rsid w:val="00590314"/>
    <w:rsid w:val="00590C92"/>
    <w:rsid w:val="005922C3"/>
    <w:rsid w:val="00595824"/>
    <w:rsid w:val="005959F3"/>
    <w:rsid w:val="00596198"/>
    <w:rsid w:val="005B363D"/>
    <w:rsid w:val="005B4CB8"/>
    <w:rsid w:val="005C25D3"/>
    <w:rsid w:val="005C3AEE"/>
    <w:rsid w:val="005C77C8"/>
    <w:rsid w:val="005D1FD0"/>
    <w:rsid w:val="005D3BE4"/>
    <w:rsid w:val="005D4132"/>
    <w:rsid w:val="005F01E0"/>
    <w:rsid w:val="005F119B"/>
    <w:rsid w:val="005F2379"/>
    <w:rsid w:val="005F4A92"/>
    <w:rsid w:val="005F5F3C"/>
    <w:rsid w:val="00601EBF"/>
    <w:rsid w:val="00605DA4"/>
    <w:rsid w:val="00607056"/>
    <w:rsid w:val="0061152E"/>
    <w:rsid w:val="0061286F"/>
    <w:rsid w:val="00616AE6"/>
    <w:rsid w:val="00630D07"/>
    <w:rsid w:val="00633C0E"/>
    <w:rsid w:val="00634F90"/>
    <w:rsid w:val="0064169A"/>
    <w:rsid w:val="006461E3"/>
    <w:rsid w:val="00670350"/>
    <w:rsid w:val="00680E9F"/>
    <w:rsid w:val="00691BC3"/>
    <w:rsid w:val="00693598"/>
    <w:rsid w:val="006A4F1F"/>
    <w:rsid w:val="006C0F2B"/>
    <w:rsid w:val="006C1477"/>
    <w:rsid w:val="006C1CC6"/>
    <w:rsid w:val="006D33D8"/>
    <w:rsid w:val="006E2A8E"/>
    <w:rsid w:val="006E6756"/>
    <w:rsid w:val="006E7FBD"/>
    <w:rsid w:val="006F5404"/>
    <w:rsid w:val="00702B05"/>
    <w:rsid w:val="007039ED"/>
    <w:rsid w:val="00704E02"/>
    <w:rsid w:val="00713294"/>
    <w:rsid w:val="0072097F"/>
    <w:rsid w:val="007231D9"/>
    <w:rsid w:val="0072764B"/>
    <w:rsid w:val="00734724"/>
    <w:rsid w:val="0073505F"/>
    <w:rsid w:val="0073751F"/>
    <w:rsid w:val="0074585B"/>
    <w:rsid w:val="00745F93"/>
    <w:rsid w:val="00757599"/>
    <w:rsid w:val="00767A46"/>
    <w:rsid w:val="00773C15"/>
    <w:rsid w:val="0078057D"/>
    <w:rsid w:val="00783E9D"/>
    <w:rsid w:val="0078458F"/>
    <w:rsid w:val="0078485E"/>
    <w:rsid w:val="00784ACA"/>
    <w:rsid w:val="007862FA"/>
    <w:rsid w:val="00792932"/>
    <w:rsid w:val="007A0F86"/>
    <w:rsid w:val="007A1CBD"/>
    <w:rsid w:val="007A3C94"/>
    <w:rsid w:val="007A4B29"/>
    <w:rsid w:val="007A4D31"/>
    <w:rsid w:val="007A786E"/>
    <w:rsid w:val="007C176C"/>
    <w:rsid w:val="007C2E3F"/>
    <w:rsid w:val="007D4E4A"/>
    <w:rsid w:val="007E1221"/>
    <w:rsid w:val="007E7824"/>
    <w:rsid w:val="007F40E6"/>
    <w:rsid w:val="007F6991"/>
    <w:rsid w:val="007F75D0"/>
    <w:rsid w:val="008022F2"/>
    <w:rsid w:val="00802643"/>
    <w:rsid w:val="00802BEA"/>
    <w:rsid w:val="00805B85"/>
    <w:rsid w:val="00811CF9"/>
    <w:rsid w:val="00812422"/>
    <w:rsid w:val="00812D5D"/>
    <w:rsid w:val="0082182A"/>
    <w:rsid w:val="00822A33"/>
    <w:rsid w:val="00824156"/>
    <w:rsid w:val="00830122"/>
    <w:rsid w:val="008309B8"/>
    <w:rsid w:val="008317B7"/>
    <w:rsid w:val="00843DDF"/>
    <w:rsid w:val="00847BFA"/>
    <w:rsid w:val="00851A8E"/>
    <w:rsid w:val="00851BCA"/>
    <w:rsid w:val="0085713D"/>
    <w:rsid w:val="00861578"/>
    <w:rsid w:val="00863EDD"/>
    <w:rsid w:val="00866BD8"/>
    <w:rsid w:val="00874283"/>
    <w:rsid w:val="00875112"/>
    <w:rsid w:val="008817F5"/>
    <w:rsid w:val="00882F12"/>
    <w:rsid w:val="0089226B"/>
    <w:rsid w:val="008A0BD4"/>
    <w:rsid w:val="008A1FDF"/>
    <w:rsid w:val="008A34EF"/>
    <w:rsid w:val="008A55C7"/>
    <w:rsid w:val="008B08A4"/>
    <w:rsid w:val="008B3579"/>
    <w:rsid w:val="008B50DB"/>
    <w:rsid w:val="008B5783"/>
    <w:rsid w:val="008B58C2"/>
    <w:rsid w:val="008C239F"/>
    <w:rsid w:val="008C39D2"/>
    <w:rsid w:val="008C4422"/>
    <w:rsid w:val="008C61E6"/>
    <w:rsid w:val="008C7271"/>
    <w:rsid w:val="008D22B9"/>
    <w:rsid w:val="008D68AD"/>
    <w:rsid w:val="008E060D"/>
    <w:rsid w:val="008E0FE2"/>
    <w:rsid w:val="008E3CB1"/>
    <w:rsid w:val="008E753D"/>
    <w:rsid w:val="008F1A67"/>
    <w:rsid w:val="008F51D6"/>
    <w:rsid w:val="0090119C"/>
    <w:rsid w:val="00903B5F"/>
    <w:rsid w:val="00920C54"/>
    <w:rsid w:val="00931D48"/>
    <w:rsid w:val="009354D4"/>
    <w:rsid w:val="009360A2"/>
    <w:rsid w:val="00963637"/>
    <w:rsid w:val="009741CE"/>
    <w:rsid w:val="009743F4"/>
    <w:rsid w:val="00975319"/>
    <w:rsid w:val="0098185A"/>
    <w:rsid w:val="009821CD"/>
    <w:rsid w:val="00984086"/>
    <w:rsid w:val="00984B81"/>
    <w:rsid w:val="009A04B6"/>
    <w:rsid w:val="009A05F5"/>
    <w:rsid w:val="009A0E84"/>
    <w:rsid w:val="009B493D"/>
    <w:rsid w:val="009B772E"/>
    <w:rsid w:val="009B7BB4"/>
    <w:rsid w:val="009C1F24"/>
    <w:rsid w:val="009C7ABC"/>
    <w:rsid w:val="009D1A92"/>
    <w:rsid w:val="009E4125"/>
    <w:rsid w:val="009E7264"/>
    <w:rsid w:val="009F3912"/>
    <w:rsid w:val="00A00A3E"/>
    <w:rsid w:val="00A00E53"/>
    <w:rsid w:val="00A01B2C"/>
    <w:rsid w:val="00A06A0E"/>
    <w:rsid w:val="00A101A9"/>
    <w:rsid w:val="00A10E87"/>
    <w:rsid w:val="00A12DD2"/>
    <w:rsid w:val="00A15342"/>
    <w:rsid w:val="00A1713D"/>
    <w:rsid w:val="00A1796C"/>
    <w:rsid w:val="00A23933"/>
    <w:rsid w:val="00A245C3"/>
    <w:rsid w:val="00A27EB1"/>
    <w:rsid w:val="00A32F7A"/>
    <w:rsid w:val="00A3319F"/>
    <w:rsid w:val="00A33D22"/>
    <w:rsid w:val="00A40920"/>
    <w:rsid w:val="00A5174C"/>
    <w:rsid w:val="00A555A2"/>
    <w:rsid w:val="00A56434"/>
    <w:rsid w:val="00A610D7"/>
    <w:rsid w:val="00A64AFE"/>
    <w:rsid w:val="00A70793"/>
    <w:rsid w:val="00A722AA"/>
    <w:rsid w:val="00A72BD6"/>
    <w:rsid w:val="00A757FE"/>
    <w:rsid w:val="00A75840"/>
    <w:rsid w:val="00A84A26"/>
    <w:rsid w:val="00A911D8"/>
    <w:rsid w:val="00A94758"/>
    <w:rsid w:val="00AA27FF"/>
    <w:rsid w:val="00AA59E1"/>
    <w:rsid w:val="00AA77FB"/>
    <w:rsid w:val="00AB1E5C"/>
    <w:rsid w:val="00AB7E1D"/>
    <w:rsid w:val="00AC0F8E"/>
    <w:rsid w:val="00AC4E4C"/>
    <w:rsid w:val="00AC5D18"/>
    <w:rsid w:val="00AC6087"/>
    <w:rsid w:val="00AD14D1"/>
    <w:rsid w:val="00AD16A4"/>
    <w:rsid w:val="00AD2FB9"/>
    <w:rsid w:val="00AE3F83"/>
    <w:rsid w:val="00AE67F4"/>
    <w:rsid w:val="00AE6D13"/>
    <w:rsid w:val="00B00B9E"/>
    <w:rsid w:val="00B1565A"/>
    <w:rsid w:val="00B2110A"/>
    <w:rsid w:val="00B32DC2"/>
    <w:rsid w:val="00B34E17"/>
    <w:rsid w:val="00B36B35"/>
    <w:rsid w:val="00B405C7"/>
    <w:rsid w:val="00B40F68"/>
    <w:rsid w:val="00B41851"/>
    <w:rsid w:val="00B428D0"/>
    <w:rsid w:val="00B446C1"/>
    <w:rsid w:val="00B45242"/>
    <w:rsid w:val="00B45AB8"/>
    <w:rsid w:val="00B5379B"/>
    <w:rsid w:val="00B66E16"/>
    <w:rsid w:val="00B761C0"/>
    <w:rsid w:val="00B77E65"/>
    <w:rsid w:val="00B8216F"/>
    <w:rsid w:val="00B878CC"/>
    <w:rsid w:val="00B9034D"/>
    <w:rsid w:val="00B962D0"/>
    <w:rsid w:val="00B96C9F"/>
    <w:rsid w:val="00BA2A07"/>
    <w:rsid w:val="00BB03D4"/>
    <w:rsid w:val="00BB28F4"/>
    <w:rsid w:val="00BB6ABB"/>
    <w:rsid w:val="00BB7E7A"/>
    <w:rsid w:val="00BD4288"/>
    <w:rsid w:val="00BD4490"/>
    <w:rsid w:val="00BF3D96"/>
    <w:rsid w:val="00C021A6"/>
    <w:rsid w:val="00C05D6C"/>
    <w:rsid w:val="00C06180"/>
    <w:rsid w:val="00C1428F"/>
    <w:rsid w:val="00C15C31"/>
    <w:rsid w:val="00C20214"/>
    <w:rsid w:val="00C21453"/>
    <w:rsid w:val="00C227FC"/>
    <w:rsid w:val="00C25A7F"/>
    <w:rsid w:val="00C27FD2"/>
    <w:rsid w:val="00C331D6"/>
    <w:rsid w:val="00C34FB5"/>
    <w:rsid w:val="00C3575B"/>
    <w:rsid w:val="00C37F52"/>
    <w:rsid w:val="00C4096C"/>
    <w:rsid w:val="00C43C70"/>
    <w:rsid w:val="00C4655F"/>
    <w:rsid w:val="00C46F44"/>
    <w:rsid w:val="00C52D9C"/>
    <w:rsid w:val="00C5347A"/>
    <w:rsid w:val="00C552F0"/>
    <w:rsid w:val="00C75AD0"/>
    <w:rsid w:val="00C8282A"/>
    <w:rsid w:val="00C8293D"/>
    <w:rsid w:val="00C83EBF"/>
    <w:rsid w:val="00C84DF3"/>
    <w:rsid w:val="00C919F6"/>
    <w:rsid w:val="00C925E4"/>
    <w:rsid w:val="00C94080"/>
    <w:rsid w:val="00CA0387"/>
    <w:rsid w:val="00CA3EF9"/>
    <w:rsid w:val="00CA6701"/>
    <w:rsid w:val="00CC1203"/>
    <w:rsid w:val="00CD008C"/>
    <w:rsid w:val="00CD04A9"/>
    <w:rsid w:val="00CD2848"/>
    <w:rsid w:val="00CF3C71"/>
    <w:rsid w:val="00CF3D46"/>
    <w:rsid w:val="00CF795C"/>
    <w:rsid w:val="00D00FA1"/>
    <w:rsid w:val="00D07941"/>
    <w:rsid w:val="00D11F0B"/>
    <w:rsid w:val="00D13C05"/>
    <w:rsid w:val="00D14C9E"/>
    <w:rsid w:val="00D238A1"/>
    <w:rsid w:val="00D267B2"/>
    <w:rsid w:val="00D27934"/>
    <w:rsid w:val="00D3195F"/>
    <w:rsid w:val="00D347FE"/>
    <w:rsid w:val="00D36C4B"/>
    <w:rsid w:val="00D37E07"/>
    <w:rsid w:val="00D41B6A"/>
    <w:rsid w:val="00D46CBC"/>
    <w:rsid w:val="00D50CD4"/>
    <w:rsid w:val="00D52404"/>
    <w:rsid w:val="00D5406A"/>
    <w:rsid w:val="00D6095B"/>
    <w:rsid w:val="00D60C88"/>
    <w:rsid w:val="00D62BBF"/>
    <w:rsid w:val="00D636A2"/>
    <w:rsid w:val="00D6446A"/>
    <w:rsid w:val="00D65CC8"/>
    <w:rsid w:val="00D705D7"/>
    <w:rsid w:val="00D74414"/>
    <w:rsid w:val="00D74624"/>
    <w:rsid w:val="00D746AE"/>
    <w:rsid w:val="00D874AF"/>
    <w:rsid w:val="00D90B89"/>
    <w:rsid w:val="00D938E4"/>
    <w:rsid w:val="00DA0582"/>
    <w:rsid w:val="00DA0DB6"/>
    <w:rsid w:val="00DA6B3E"/>
    <w:rsid w:val="00DA74B6"/>
    <w:rsid w:val="00DA77DF"/>
    <w:rsid w:val="00DB2312"/>
    <w:rsid w:val="00DB5FD0"/>
    <w:rsid w:val="00DB6F69"/>
    <w:rsid w:val="00DC3968"/>
    <w:rsid w:val="00DC4092"/>
    <w:rsid w:val="00DC4448"/>
    <w:rsid w:val="00DC4755"/>
    <w:rsid w:val="00DC600B"/>
    <w:rsid w:val="00DD05A1"/>
    <w:rsid w:val="00DD0B20"/>
    <w:rsid w:val="00DD18B7"/>
    <w:rsid w:val="00DE092C"/>
    <w:rsid w:val="00DE1A67"/>
    <w:rsid w:val="00DE7976"/>
    <w:rsid w:val="00DF1C8E"/>
    <w:rsid w:val="00DF4405"/>
    <w:rsid w:val="00DF7C90"/>
    <w:rsid w:val="00E01F04"/>
    <w:rsid w:val="00E05E36"/>
    <w:rsid w:val="00E213DC"/>
    <w:rsid w:val="00E21DAE"/>
    <w:rsid w:val="00E21F91"/>
    <w:rsid w:val="00E24C3E"/>
    <w:rsid w:val="00E258A7"/>
    <w:rsid w:val="00E262D0"/>
    <w:rsid w:val="00E3176D"/>
    <w:rsid w:val="00E36A09"/>
    <w:rsid w:val="00E45034"/>
    <w:rsid w:val="00E4726A"/>
    <w:rsid w:val="00E47EFE"/>
    <w:rsid w:val="00E53FC2"/>
    <w:rsid w:val="00E54374"/>
    <w:rsid w:val="00E56323"/>
    <w:rsid w:val="00E577A1"/>
    <w:rsid w:val="00E60452"/>
    <w:rsid w:val="00E61AAE"/>
    <w:rsid w:val="00E80901"/>
    <w:rsid w:val="00E8460C"/>
    <w:rsid w:val="00E8761C"/>
    <w:rsid w:val="00E923E7"/>
    <w:rsid w:val="00E9257A"/>
    <w:rsid w:val="00EA15EC"/>
    <w:rsid w:val="00EA1BC2"/>
    <w:rsid w:val="00EA38F0"/>
    <w:rsid w:val="00EA7C22"/>
    <w:rsid w:val="00EB0585"/>
    <w:rsid w:val="00EB0943"/>
    <w:rsid w:val="00EB260A"/>
    <w:rsid w:val="00EB41B9"/>
    <w:rsid w:val="00EC1AB7"/>
    <w:rsid w:val="00EC4C16"/>
    <w:rsid w:val="00EC546D"/>
    <w:rsid w:val="00ED2BE4"/>
    <w:rsid w:val="00EE0217"/>
    <w:rsid w:val="00EE0967"/>
    <w:rsid w:val="00EE0A18"/>
    <w:rsid w:val="00EE42D6"/>
    <w:rsid w:val="00EE69E1"/>
    <w:rsid w:val="00EE6F95"/>
    <w:rsid w:val="00EF109F"/>
    <w:rsid w:val="00F06C9F"/>
    <w:rsid w:val="00F21865"/>
    <w:rsid w:val="00F22D6B"/>
    <w:rsid w:val="00F2404C"/>
    <w:rsid w:val="00F24347"/>
    <w:rsid w:val="00F403C9"/>
    <w:rsid w:val="00F40AB5"/>
    <w:rsid w:val="00F4191F"/>
    <w:rsid w:val="00F42ACF"/>
    <w:rsid w:val="00F47309"/>
    <w:rsid w:val="00F508C0"/>
    <w:rsid w:val="00F524B7"/>
    <w:rsid w:val="00F54923"/>
    <w:rsid w:val="00F56536"/>
    <w:rsid w:val="00F664E7"/>
    <w:rsid w:val="00F72808"/>
    <w:rsid w:val="00F7345A"/>
    <w:rsid w:val="00F74DE2"/>
    <w:rsid w:val="00F84783"/>
    <w:rsid w:val="00F864CF"/>
    <w:rsid w:val="00F93D7F"/>
    <w:rsid w:val="00F95F28"/>
    <w:rsid w:val="00F961A6"/>
    <w:rsid w:val="00FA0F6A"/>
    <w:rsid w:val="00FA50FE"/>
    <w:rsid w:val="00FA7AF3"/>
    <w:rsid w:val="00FB5406"/>
    <w:rsid w:val="00FB7644"/>
    <w:rsid w:val="00FC2371"/>
    <w:rsid w:val="00FD048B"/>
    <w:rsid w:val="00FE5B6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8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8F"/>
    <w:pPr>
      <w:spacing w:after="200" w:line="276" w:lineRule="auto"/>
    </w:pPr>
    <w:rPr>
      <w:sz w:val="22"/>
      <w:szCs w:val="22"/>
      <w:lang w:eastAsia="en-US"/>
    </w:rPr>
  </w:style>
  <w:style w:type="paragraph" w:styleId="Nagwek1">
    <w:name w:val="heading 1"/>
    <w:basedOn w:val="Normalny"/>
    <w:next w:val="Normalny"/>
    <w:link w:val="Nagwek1Znak"/>
    <w:uiPriority w:val="9"/>
    <w:qFormat/>
    <w:rsid w:val="001478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diumGrid1-Accent21">
    <w:name w:val="Medium Grid 1 - Accent 21"/>
    <w:basedOn w:val="Normalny"/>
    <w:link w:val="MediumGrid1-Accent2Char"/>
    <w:uiPriority w:val="34"/>
    <w:qFormat/>
    <w:rsid w:val="008A55C7"/>
    <w:pPr>
      <w:ind w:left="720"/>
      <w:contextualSpacing/>
    </w:pPr>
  </w:style>
  <w:style w:type="character" w:styleId="Hipercze">
    <w:name w:val="Hyperlink"/>
    <w:uiPriority w:val="99"/>
    <w:unhideWhenUsed/>
    <w:rsid w:val="002B6054"/>
    <w:rPr>
      <w:color w:val="0000FF"/>
      <w:u w:val="single"/>
    </w:rPr>
  </w:style>
  <w:style w:type="paragraph" w:customStyle="1" w:styleId="bodytext">
    <w:name w:val="bodytext"/>
    <w:basedOn w:val="Normalny"/>
    <w:rsid w:val="0008707E"/>
    <w:pPr>
      <w:spacing w:before="100" w:beforeAutospacing="1" w:after="100" w:afterAutospacing="1" w:line="240" w:lineRule="auto"/>
    </w:pPr>
    <w:rPr>
      <w:rFonts w:ascii="Times New Roman" w:eastAsia="Times New Roman" w:hAnsi="Times New Roman"/>
      <w:sz w:val="24"/>
      <w:szCs w:val="24"/>
      <w:lang w:val="en-US"/>
    </w:rPr>
  </w:style>
  <w:style w:type="character" w:styleId="Odwoaniedokomentarza">
    <w:name w:val="annotation reference"/>
    <w:uiPriority w:val="99"/>
    <w:semiHidden/>
    <w:unhideWhenUsed/>
    <w:rsid w:val="00580E18"/>
    <w:rPr>
      <w:sz w:val="16"/>
      <w:szCs w:val="16"/>
    </w:rPr>
  </w:style>
  <w:style w:type="paragraph" w:styleId="Tekstkomentarza">
    <w:name w:val="annotation text"/>
    <w:basedOn w:val="Normalny"/>
    <w:link w:val="TekstkomentarzaZnak"/>
    <w:uiPriority w:val="99"/>
    <w:semiHidden/>
    <w:unhideWhenUsed/>
    <w:rsid w:val="00580E18"/>
    <w:pPr>
      <w:spacing w:line="240" w:lineRule="auto"/>
    </w:pPr>
    <w:rPr>
      <w:sz w:val="20"/>
      <w:szCs w:val="20"/>
    </w:rPr>
  </w:style>
  <w:style w:type="character" w:customStyle="1" w:styleId="TekstkomentarzaZnak">
    <w:name w:val="Tekst komentarza Znak"/>
    <w:link w:val="Tekstkomentarza"/>
    <w:uiPriority w:val="99"/>
    <w:semiHidden/>
    <w:rsid w:val="00580E18"/>
    <w:rPr>
      <w:sz w:val="20"/>
      <w:szCs w:val="20"/>
    </w:rPr>
  </w:style>
  <w:style w:type="paragraph" w:styleId="Tematkomentarza">
    <w:name w:val="annotation subject"/>
    <w:basedOn w:val="Tekstkomentarza"/>
    <w:next w:val="Tekstkomentarza"/>
    <w:link w:val="TematkomentarzaZnak"/>
    <w:uiPriority w:val="99"/>
    <w:semiHidden/>
    <w:unhideWhenUsed/>
    <w:rsid w:val="00580E18"/>
    <w:rPr>
      <w:b/>
      <w:bCs/>
    </w:rPr>
  </w:style>
  <w:style w:type="character" w:customStyle="1" w:styleId="TematkomentarzaZnak">
    <w:name w:val="Temat komentarza Znak"/>
    <w:link w:val="Tematkomentarza"/>
    <w:uiPriority w:val="99"/>
    <w:semiHidden/>
    <w:rsid w:val="00580E18"/>
    <w:rPr>
      <w:b/>
      <w:bCs/>
      <w:sz w:val="20"/>
      <w:szCs w:val="20"/>
    </w:rPr>
  </w:style>
  <w:style w:type="paragraph" w:styleId="Tekstdymka">
    <w:name w:val="Balloon Text"/>
    <w:basedOn w:val="Normalny"/>
    <w:link w:val="TekstdymkaZnak"/>
    <w:uiPriority w:val="99"/>
    <w:semiHidden/>
    <w:unhideWhenUsed/>
    <w:rsid w:val="00580E1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0E18"/>
    <w:rPr>
      <w:rFonts w:ascii="Tahoma" w:hAnsi="Tahoma" w:cs="Tahoma"/>
      <w:sz w:val="16"/>
      <w:szCs w:val="16"/>
    </w:rPr>
  </w:style>
  <w:style w:type="character" w:customStyle="1" w:styleId="Nagwek1Znak">
    <w:name w:val="Nagłówek 1 Znak"/>
    <w:link w:val="Nagwek1"/>
    <w:uiPriority w:val="9"/>
    <w:rsid w:val="001478B3"/>
    <w:rPr>
      <w:rFonts w:ascii="Cambria" w:eastAsia="Times New Roman" w:hAnsi="Cambria" w:cs="Times New Roman"/>
      <w:b/>
      <w:bCs/>
      <w:color w:val="365F91"/>
      <w:sz w:val="28"/>
      <w:szCs w:val="28"/>
    </w:rPr>
  </w:style>
  <w:style w:type="paragraph" w:styleId="NormalnyWeb">
    <w:name w:val="Normal (Web)"/>
    <w:basedOn w:val="Normalny"/>
    <w:uiPriority w:val="99"/>
    <w:unhideWhenUsed/>
    <w:rsid w:val="00A555A2"/>
    <w:pPr>
      <w:spacing w:before="100" w:beforeAutospacing="1" w:after="100" w:afterAutospacing="1" w:line="240" w:lineRule="auto"/>
    </w:pPr>
    <w:rPr>
      <w:rFonts w:ascii="Times New Roman" w:eastAsia="Times New Roman" w:hAnsi="Times New Roman"/>
      <w:sz w:val="24"/>
      <w:szCs w:val="24"/>
      <w:lang w:val="en-US"/>
    </w:rPr>
  </w:style>
  <w:style w:type="paragraph" w:styleId="Tekstprzypisukocowego">
    <w:name w:val="endnote text"/>
    <w:basedOn w:val="Normalny"/>
    <w:link w:val="TekstprzypisukocowegoZnak"/>
    <w:semiHidden/>
    <w:unhideWhenUsed/>
    <w:rsid w:val="00EB0585"/>
    <w:pPr>
      <w:spacing w:after="0" w:line="240" w:lineRule="auto"/>
    </w:pPr>
    <w:rPr>
      <w:sz w:val="20"/>
      <w:szCs w:val="20"/>
    </w:rPr>
  </w:style>
  <w:style w:type="character" w:customStyle="1" w:styleId="TekstprzypisukocowegoZnak">
    <w:name w:val="Tekst przypisu końcowego Znak"/>
    <w:link w:val="Tekstprzypisukocowego"/>
    <w:uiPriority w:val="99"/>
    <w:semiHidden/>
    <w:rsid w:val="00EB0585"/>
    <w:rPr>
      <w:sz w:val="20"/>
      <w:szCs w:val="20"/>
    </w:rPr>
  </w:style>
  <w:style w:type="character" w:styleId="Odwoanieprzypisukocowego">
    <w:name w:val="endnote reference"/>
    <w:uiPriority w:val="99"/>
    <w:semiHidden/>
    <w:unhideWhenUsed/>
    <w:rsid w:val="00EB0585"/>
    <w:rPr>
      <w:vertAlign w:val="superscript"/>
    </w:rPr>
  </w:style>
  <w:style w:type="character" w:customStyle="1" w:styleId="MediumGrid1-Accent2Char">
    <w:name w:val="Medium Grid 1 - Accent 2 Char"/>
    <w:basedOn w:val="Domylnaczcionkaakapitu"/>
    <w:link w:val="MediumGrid1-Accent21"/>
    <w:uiPriority w:val="99"/>
    <w:locked/>
    <w:rsid w:val="009B772E"/>
  </w:style>
  <w:style w:type="paragraph" w:customStyle="1" w:styleId="MediumList2-Accent21">
    <w:name w:val="Medium List 2 - Accent 21"/>
    <w:hidden/>
    <w:uiPriority w:val="99"/>
    <w:semiHidden/>
    <w:rsid w:val="00F7345A"/>
    <w:rPr>
      <w:sz w:val="22"/>
      <w:szCs w:val="22"/>
      <w:lang w:eastAsia="en-US"/>
    </w:rPr>
  </w:style>
  <w:style w:type="table" w:styleId="Tabela-Siatka">
    <w:name w:val="Table Grid"/>
    <w:basedOn w:val="Standardowy"/>
    <w:uiPriority w:val="59"/>
    <w:rsid w:val="00A91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52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404"/>
  </w:style>
  <w:style w:type="paragraph" w:styleId="Stopka">
    <w:name w:val="footer"/>
    <w:basedOn w:val="Normalny"/>
    <w:link w:val="StopkaZnak"/>
    <w:uiPriority w:val="99"/>
    <w:unhideWhenUsed/>
    <w:rsid w:val="00D52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404"/>
  </w:style>
  <w:style w:type="character" w:customStyle="1" w:styleId="apple-converted-space">
    <w:name w:val="apple-converted-space"/>
    <w:rsid w:val="00B32DC2"/>
  </w:style>
  <w:style w:type="paragraph" w:styleId="Akapitzlist">
    <w:name w:val="List Paragraph"/>
    <w:basedOn w:val="Normalny"/>
    <w:uiPriority w:val="99"/>
    <w:qFormat/>
    <w:rsid w:val="000B6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8F"/>
    <w:pPr>
      <w:spacing w:after="200" w:line="276" w:lineRule="auto"/>
    </w:pPr>
    <w:rPr>
      <w:sz w:val="22"/>
      <w:szCs w:val="22"/>
      <w:lang w:eastAsia="en-US"/>
    </w:rPr>
  </w:style>
  <w:style w:type="paragraph" w:styleId="Nagwek1">
    <w:name w:val="heading 1"/>
    <w:basedOn w:val="Normalny"/>
    <w:next w:val="Normalny"/>
    <w:link w:val="Nagwek1Znak"/>
    <w:uiPriority w:val="9"/>
    <w:qFormat/>
    <w:rsid w:val="001478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diumGrid1-Accent21">
    <w:name w:val="Medium Grid 1 - Accent 21"/>
    <w:basedOn w:val="Normalny"/>
    <w:link w:val="MediumGrid1-Accent2Char"/>
    <w:uiPriority w:val="34"/>
    <w:qFormat/>
    <w:rsid w:val="008A55C7"/>
    <w:pPr>
      <w:ind w:left="720"/>
      <w:contextualSpacing/>
    </w:pPr>
  </w:style>
  <w:style w:type="character" w:styleId="Hipercze">
    <w:name w:val="Hyperlink"/>
    <w:uiPriority w:val="99"/>
    <w:unhideWhenUsed/>
    <w:rsid w:val="002B6054"/>
    <w:rPr>
      <w:color w:val="0000FF"/>
      <w:u w:val="single"/>
    </w:rPr>
  </w:style>
  <w:style w:type="paragraph" w:customStyle="1" w:styleId="bodytext">
    <w:name w:val="bodytext"/>
    <w:basedOn w:val="Normalny"/>
    <w:rsid w:val="0008707E"/>
    <w:pPr>
      <w:spacing w:before="100" w:beforeAutospacing="1" w:after="100" w:afterAutospacing="1" w:line="240" w:lineRule="auto"/>
    </w:pPr>
    <w:rPr>
      <w:rFonts w:ascii="Times New Roman" w:eastAsia="Times New Roman" w:hAnsi="Times New Roman"/>
      <w:sz w:val="24"/>
      <w:szCs w:val="24"/>
      <w:lang w:val="en-US"/>
    </w:rPr>
  </w:style>
  <w:style w:type="character" w:styleId="Odwoaniedokomentarza">
    <w:name w:val="annotation reference"/>
    <w:uiPriority w:val="99"/>
    <w:semiHidden/>
    <w:unhideWhenUsed/>
    <w:rsid w:val="00580E18"/>
    <w:rPr>
      <w:sz w:val="16"/>
      <w:szCs w:val="16"/>
    </w:rPr>
  </w:style>
  <w:style w:type="paragraph" w:styleId="Tekstkomentarza">
    <w:name w:val="annotation text"/>
    <w:basedOn w:val="Normalny"/>
    <w:link w:val="TekstkomentarzaZnak"/>
    <w:uiPriority w:val="99"/>
    <w:semiHidden/>
    <w:unhideWhenUsed/>
    <w:rsid w:val="00580E18"/>
    <w:pPr>
      <w:spacing w:line="240" w:lineRule="auto"/>
    </w:pPr>
    <w:rPr>
      <w:sz w:val="20"/>
      <w:szCs w:val="20"/>
    </w:rPr>
  </w:style>
  <w:style w:type="character" w:customStyle="1" w:styleId="TekstkomentarzaZnak">
    <w:name w:val="Tekst komentarza Znak"/>
    <w:link w:val="Tekstkomentarza"/>
    <w:uiPriority w:val="99"/>
    <w:semiHidden/>
    <w:rsid w:val="00580E18"/>
    <w:rPr>
      <w:sz w:val="20"/>
      <w:szCs w:val="20"/>
    </w:rPr>
  </w:style>
  <w:style w:type="paragraph" w:styleId="Tematkomentarza">
    <w:name w:val="annotation subject"/>
    <w:basedOn w:val="Tekstkomentarza"/>
    <w:next w:val="Tekstkomentarza"/>
    <w:link w:val="TematkomentarzaZnak"/>
    <w:uiPriority w:val="99"/>
    <w:semiHidden/>
    <w:unhideWhenUsed/>
    <w:rsid w:val="00580E18"/>
    <w:rPr>
      <w:b/>
      <w:bCs/>
    </w:rPr>
  </w:style>
  <w:style w:type="character" w:customStyle="1" w:styleId="TematkomentarzaZnak">
    <w:name w:val="Temat komentarza Znak"/>
    <w:link w:val="Tematkomentarza"/>
    <w:uiPriority w:val="99"/>
    <w:semiHidden/>
    <w:rsid w:val="00580E18"/>
    <w:rPr>
      <w:b/>
      <w:bCs/>
      <w:sz w:val="20"/>
      <w:szCs w:val="20"/>
    </w:rPr>
  </w:style>
  <w:style w:type="paragraph" w:styleId="Tekstdymka">
    <w:name w:val="Balloon Text"/>
    <w:basedOn w:val="Normalny"/>
    <w:link w:val="TekstdymkaZnak"/>
    <w:uiPriority w:val="99"/>
    <w:semiHidden/>
    <w:unhideWhenUsed/>
    <w:rsid w:val="00580E1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0E18"/>
    <w:rPr>
      <w:rFonts w:ascii="Tahoma" w:hAnsi="Tahoma" w:cs="Tahoma"/>
      <w:sz w:val="16"/>
      <w:szCs w:val="16"/>
    </w:rPr>
  </w:style>
  <w:style w:type="character" w:customStyle="1" w:styleId="Nagwek1Znak">
    <w:name w:val="Nagłówek 1 Znak"/>
    <w:link w:val="Nagwek1"/>
    <w:uiPriority w:val="9"/>
    <w:rsid w:val="001478B3"/>
    <w:rPr>
      <w:rFonts w:ascii="Cambria" w:eastAsia="Times New Roman" w:hAnsi="Cambria" w:cs="Times New Roman"/>
      <w:b/>
      <w:bCs/>
      <w:color w:val="365F91"/>
      <w:sz w:val="28"/>
      <w:szCs w:val="28"/>
    </w:rPr>
  </w:style>
  <w:style w:type="paragraph" w:styleId="NormalnyWeb">
    <w:name w:val="Normal (Web)"/>
    <w:basedOn w:val="Normalny"/>
    <w:uiPriority w:val="99"/>
    <w:unhideWhenUsed/>
    <w:rsid w:val="00A555A2"/>
    <w:pPr>
      <w:spacing w:before="100" w:beforeAutospacing="1" w:after="100" w:afterAutospacing="1" w:line="240" w:lineRule="auto"/>
    </w:pPr>
    <w:rPr>
      <w:rFonts w:ascii="Times New Roman" w:eastAsia="Times New Roman" w:hAnsi="Times New Roman"/>
      <w:sz w:val="24"/>
      <w:szCs w:val="24"/>
      <w:lang w:val="en-US"/>
    </w:rPr>
  </w:style>
  <w:style w:type="paragraph" w:styleId="Tekstprzypisukocowego">
    <w:name w:val="endnote text"/>
    <w:basedOn w:val="Normalny"/>
    <w:link w:val="TekstprzypisukocowegoZnak"/>
    <w:semiHidden/>
    <w:unhideWhenUsed/>
    <w:rsid w:val="00EB0585"/>
    <w:pPr>
      <w:spacing w:after="0" w:line="240" w:lineRule="auto"/>
    </w:pPr>
    <w:rPr>
      <w:sz w:val="20"/>
      <w:szCs w:val="20"/>
    </w:rPr>
  </w:style>
  <w:style w:type="character" w:customStyle="1" w:styleId="TekstprzypisukocowegoZnak">
    <w:name w:val="Tekst przypisu końcowego Znak"/>
    <w:link w:val="Tekstprzypisukocowego"/>
    <w:uiPriority w:val="99"/>
    <w:semiHidden/>
    <w:rsid w:val="00EB0585"/>
    <w:rPr>
      <w:sz w:val="20"/>
      <w:szCs w:val="20"/>
    </w:rPr>
  </w:style>
  <w:style w:type="character" w:styleId="Odwoanieprzypisukocowego">
    <w:name w:val="endnote reference"/>
    <w:uiPriority w:val="99"/>
    <w:semiHidden/>
    <w:unhideWhenUsed/>
    <w:rsid w:val="00EB0585"/>
    <w:rPr>
      <w:vertAlign w:val="superscript"/>
    </w:rPr>
  </w:style>
  <w:style w:type="character" w:customStyle="1" w:styleId="MediumGrid1-Accent2Char">
    <w:name w:val="Medium Grid 1 - Accent 2 Char"/>
    <w:basedOn w:val="Domylnaczcionkaakapitu"/>
    <w:link w:val="MediumGrid1-Accent21"/>
    <w:uiPriority w:val="99"/>
    <w:locked/>
    <w:rsid w:val="009B772E"/>
  </w:style>
  <w:style w:type="paragraph" w:customStyle="1" w:styleId="MediumList2-Accent21">
    <w:name w:val="Medium List 2 - Accent 21"/>
    <w:hidden/>
    <w:uiPriority w:val="99"/>
    <w:semiHidden/>
    <w:rsid w:val="00F7345A"/>
    <w:rPr>
      <w:sz w:val="22"/>
      <w:szCs w:val="22"/>
      <w:lang w:eastAsia="en-US"/>
    </w:rPr>
  </w:style>
  <w:style w:type="table" w:styleId="Tabela-Siatka">
    <w:name w:val="Table Grid"/>
    <w:basedOn w:val="Standardowy"/>
    <w:uiPriority w:val="59"/>
    <w:rsid w:val="00A91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52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404"/>
  </w:style>
  <w:style w:type="paragraph" w:styleId="Stopka">
    <w:name w:val="footer"/>
    <w:basedOn w:val="Normalny"/>
    <w:link w:val="StopkaZnak"/>
    <w:uiPriority w:val="99"/>
    <w:unhideWhenUsed/>
    <w:rsid w:val="00D52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404"/>
  </w:style>
  <w:style w:type="character" w:customStyle="1" w:styleId="apple-converted-space">
    <w:name w:val="apple-converted-space"/>
    <w:rsid w:val="00B32DC2"/>
  </w:style>
  <w:style w:type="paragraph" w:styleId="Akapitzlist">
    <w:name w:val="List Paragraph"/>
    <w:basedOn w:val="Normalny"/>
    <w:uiPriority w:val="99"/>
    <w:qFormat/>
    <w:rsid w:val="000B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26">
      <w:bodyDiv w:val="1"/>
      <w:marLeft w:val="0"/>
      <w:marRight w:val="0"/>
      <w:marTop w:val="0"/>
      <w:marBottom w:val="0"/>
      <w:divBdr>
        <w:top w:val="none" w:sz="0" w:space="0" w:color="auto"/>
        <w:left w:val="none" w:sz="0" w:space="0" w:color="auto"/>
        <w:bottom w:val="none" w:sz="0" w:space="0" w:color="auto"/>
        <w:right w:val="none" w:sz="0" w:space="0" w:color="auto"/>
      </w:divBdr>
    </w:div>
    <w:div w:id="147669053">
      <w:bodyDiv w:val="1"/>
      <w:marLeft w:val="0"/>
      <w:marRight w:val="0"/>
      <w:marTop w:val="0"/>
      <w:marBottom w:val="0"/>
      <w:divBdr>
        <w:top w:val="none" w:sz="0" w:space="0" w:color="auto"/>
        <w:left w:val="none" w:sz="0" w:space="0" w:color="auto"/>
        <w:bottom w:val="none" w:sz="0" w:space="0" w:color="auto"/>
        <w:right w:val="none" w:sz="0" w:space="0" w:color="auto"/>
      </w:divBdr>
    </w:div>
    <w:div w:id="172888617">
      <w:bodyDiv w:val="1"/>
      <w:marLeft w:val="0"/>
      <w:marRight w:val="0"/>
      <w:marTop w:val="0"/>
      <w:marBottom w:val="0"/>
      <w:divBdr>
        <w:top w:val="none" w:sz="0" w:space="0" w:color="auto"/>
        <w:left w:val="none" w:sz="0" w:space="0" w:color="auto"/>
        <w:bottom w:val="none" w:sz="0" w:space="0" w:color="auto"/>
        <w:right w:val="none" w:sz="0" w:space="0" w:color="auto"/>
      </w:divBdr>
      <w:divsChild>
        <w:div w:id="118646298">
          <w:marLeft w:val="720"/>
          <w:marRight w:val="0"/>
          <w:marTop w:val="86"/>
          <w:marBottom w:val="0"/>
          <w:divBdr>
            <w:top w:val="none" w:sz="0" w:space="0" w:color="auto"/>
            <w:left w:val="none" w:sz="0" w:space="0" w:color="auto"/>
            <w:bottom w:val="none" w:sz="0" w:space="0" w:color="auto"/>
            <w:right w:val="none" w:sz="0" w:space="0" w:color="auto"/>
          </w:divBdr>
        </w:div>
        <w:div w:id="222565637">
          <w:marLeft w:val="720"/>
          <w:marRight w:val="0"/>
          <w:marTop w:val="86"/>
          <w:marBottom w:val="0"/>
          <w:divBdr>
            <w:top w:val="none" w:sz="0" w:space="0" w:color="auto"/>
            <w:left w:val="none" w:sz="0" w:space="0" w:color="auto"/>
            <w:bottom w:val="none" w:sz="0" w:space="0" w:color="auto"/>
            <w:right w:val="none" w:sz="0" w:space="0" w:color="auto"/>
          </w:divBdr>
        </w:div>
        <w:div w:id="278414894">
          <w:marLeft w:val="720"/>
          <w:marRight w:val="0"/>
          <w:marTop w:val="86"/>
          <w:marBottom w:val="0"/>
          <w:divBdr>
            <w:top w:val="none" w:sz="0" w:space="0" w:color="auto"/>
            <w:left w:val="none" w:sz="0" w:space="0" w:color="auto"/>
            <w:bottom w:val="none" w:sz="0" w:space="0" w:color="auto"/>
            <w:right w:val="none" w:sz="0" w:space="0" w:color="auto"/>
          </w:divBdr>
        </w:div>
        <w:div w:id="707947768">
          <w:marLeft w:val="720"/>
          <w:marRight w:val="0"/>
          <w:marTop w:val="86"/>
          <w:marBottom w:val="0"/>
          <w:divBdr>
            <w:top w:val="none" w:sz="0" w:space="0" w:color="auto"/>
            <w:left w:val="none" w:sz="0" w:space="0" w:color="auto"/>
            <w:bottom w:val="none" w:sz="0" w:space="0" w:color="auto"/>
            <w:right w:val="none" w:sz="0" w:space="0" w:color="auto"/>
          </w:divBdr>
        </w:div>
        <w:div w:id="1250693133">
          <w:marLeft w:val="720"/>
          <w:marRight w:val="0"/>
          <w:marTop w:val="86"/>
          <w:marBottom w:val="0"/>
          <w:divBdr>
            <w:top w:val="none" w:sz="0" w:space="0" w:color="auto"/>
            <w:left w:val="none" w:sz="0" w:space="0" w:color="auto"/>
            <w:bottom w:val="none" w:sz="0" w:space="0" w:color="auto"/>
            <w:right w:val="none" w:sz="0" w:space="0" w:color="auto"/>
          </w:divBdr>
        </w:div>
        <w:div w:id="1278101259">
          <w:marLeft w:val="720"/>
          <w:marRight w:val="0"/>
          <w:marTop w:val="86"/>
          <w:marBottom w:val="0"/>
          <w:divBdr>
            <w:top w:val="none" w:sz="0" w:space="0" w:color="auto"/>
            <w:left w:val="none" w:sz="0" w:space="0" w:color="auto"/>
            <w:bottom w:val="none" w:sz="0" w:space="0" w:color="auto"/>
            <w:right w:val="none" w:sz="0" w:space="0" w:color="auto"/>
          </w:divBdr>
        </w:div>
        <w:div w:id="1585844018">
          <w:marLeft w:val="720"/>
          <w:marRight w:val="0"/>
          <w:marTop w:val="86"/>
          <w:marBottom w:val="0"/>
          <w:divBdr>
            <w:top w:val="none" w:sz="0" w:space="0" w:color="auto"/>
            <w:left w:val="none" w:sz="0" w:space="0" w:color="auto"/>
            <w:bottom w:val="none" w:sz="0" w:space="0" w:color="auto"/>
            <w:right w:val="none" w:sz="0" w:space="0" w:color="auto"/>
          </w:divBdr>
        </w:div>
        <w:div w:id="1674144410">
          <w:marLeft w:val="720"/>
          <w:marRight w:val="0"/>
          <w:marTop w:val="86"/>
          <w:marBottom w:val="0"/>
          <w:divBdr>
            <w:top w:val="none" w:sz="0" w:space="0" w:color="auto"/>
            <w:left w:val="none" w:sz="0" w:space="0" w:color="auto"/>
            <w:bottom w:val="none" w:sz="0" w:space="0" w:color="auto"/>
            <w:right w:val="none" w:sz="0" w:space="0" w:color="auto"/>
          </w:divBdr>
        </w:div>
        <w:div w:id="1728719245">
          <w:marLeft w:val="720"/>
          <w:marRight w:val="0"/>
          <w:marTop w:val="86"/>
          <w:marBottom w:val="0"/>
          <w:divBdr>
            <w:top w:val="none" w:sz="0" w:space="0" w:color="auto"/>
            <w:left w:val="none" w:sz="0" w:space="0" w:color="auto"/>
            <w:bottom w:val="none" w:sz="0" w:space="0" w:color="auto"/>
            <w:right w:val="none" w:sz="0" w:space="0" w:color="auto"/>
          </w:divBdr>
        </w:div>
        <w:div w:id="2112891452">
          <w:marLeft w:val="720"/>
          <w:marRight w:val="0"/>
          <w:marTop w:val="86"/>
          <w:marBottom w:val="0"/>
          <w:divBdr>
            <w:top w:val="none" w:sz="0" w:space="0" w:color="auto"/>
            <w:left w:val="none" w:sz="0" w:space="0" w:color="auto"/>
            <w:bottom w:val="none" w:sz="0" w:space="0" w:color="auto"/>
            <w:right w:val="none" w:sz="0" w:space="0" w:color="auto"/>
          </w:divBdr>
        </w:div>
      </w:divsChild>
    </w:div>
    <w:div w:id="292954733">
      <w:bodyDiv w:val="1"/>
      <w:marLeft w:val="0"/>
      <w:marRight w:val="0"/>
      <w:marTop w:val="0"/>
      <w:marBottom w:val="0"/>
      <w:divBdr>
        <w:top w:val="none" w:sz="0" w:space="0" w:color="auto"/>
        <w:left w:val="none" w:sz="0" w:space="0" w:color="auto"/>
        <w:bottom w:val="none" w:sz="0" w:space="0" w:color="auto"/>
        <w:right w:val="none" w:sz="0" w:space="0" w:color="auto"/>
      </w:divBdr>
    </w:div>
    <w:div w:id="356590040">
      <w:bodyDiv w:val="1"/>
      <w:marLeft w:val="0"/>
      <w:marRight w:val="0"/>
      <w:marTop w:val="0"/>
      <w:marBottom w:val="0"/>
      <w:divBdr>
        <w:top w:val="none" w:sz="0" w:space="0" w:color="auto"/>
        <w:left w:val="none" w:sz="0" w:space="0" w:color="auto"/>
        <w:bottom w:val="none" w:sz="0" w:space="0" w:color="auto"/>
        <w:right w:val="none" w:sz="0" w:space="0" w:color="auto"/>
      </w:divBdr>
      <w:divsChild>
        <w:div w:id="274601420">
          <w:marLeft w:val="547"/>
          <w:marRight w:val="0"/>
          <w:marTop w:val="96"/>
          <w:marBottom w:val="96"/>
          <w:divBdr>
            <w:top w:val="none" w:sz="0" w:space="0" w:color="auto"/>
            <w:left w:val="none" w:sz="0" w:space="0" w:color="auto"/>
            <w:bottom w:val="none" w:sz="0" w:space="0" w:color="auto"/>
            <w:right w:val="none" w:sz="0" w:space="0" w:color="auto"/>
          </w:divBdr>
        </w:div>
        <w:div w:id="448865548">
          <w:marLeft w:val="547"/>
          <w:marRight w:val="0"/>
          <w:marTop w:val="96"/>
          <w:marBottom w:val="96"/>
          <w:divBdr>
            <w:top w:val="none" w:sz="0" w:space="0" w:color="auto"/>
            <w:left w:val="none" w:sz="0" w:space="0" w:color="auto"/>
            <w:bottom w:val="none" w:sz="0" w:space="0" w:color="auto"/>
            <w:right w:val="none" w:sz="0" w:space="0" w:color="auto"/>
          </w:divBdr>
        </w:div>
        <w:div w:id="966666977">
          <w:marLeft w:val="547"/>
          <w:marRight w:val="0"/>
          <w:marTop w:val="96"/>
          <w:marBottom w:val="96"/>
          <w:divBdr>
            <w:top w:val="none" w:sz="0" w:space="0" w:color="auto"/>
            <w:left w:val="none" w:sz="0" w:space="0" w:color="auto"/>
            <w:bottom w:val="none" w:sz="0" w:space="0" w:color="auto"/>
            <w:right w:val="none" w:sz="0" w:space="0" w:color="auto"/>
          </w:divBdr>
        </w:div>
        <w:div w:id="1028720911">
          <w:marLeft w:val="547"/>
          <w:marRight w:val="0"/>
          <w:marTop w:val="96"/>
          <w:marBottom w:val="96"/>
          <w:divBdr>
            <w:top w:val="none" w:sz="0" w:space="0" w:color="auto"/>
            <w:left w:val="none" w:sz="0" w:space="0" w:color="auto"/>
            <w:bottom w:val="none" w:sz="0" w:space="0" w:color="auto"/>
            <w:right w:val="none" w:sz="0" w:space="0" w:color="auto"/>
          </w:divBdr>
        </w:div>
        <w:div w:id="1273974262">
          <w:marLeft w:val="547"/>
          <w:marRight w:val="0"/>
          <w:marTop w:val="96"/>
          <w:marBottom w:val="96"/>
          <w:divBdr>
            <w:top w:val="none" w:sz="0" w:space="0" w:color="auto"/>
            <w:left w:val="none" w:sz="0" w:space="0" w:color="auto"/>
            <w:bottom w:val="none" w:sz="0" w:space="0" w:color="auto"/>
            <w:right w:val="none" w:sz="0" w:space="0" w:color="auto"/>
          </w:divBdr>
        </w:div>
        <w:div w:id="2129079957">
          <w:marLeft w:val="547"/>
          <w:marRight w:val="0"/>
          <w:marTop w:val="96"/>
          <w:marBottom w:val="96"/>
          <w:divBdr>
            <w:top w:val="none" w:sz="0" w:space="0" w:color="auto"/>
            <w:left w:val="none" w:sz="0" w:space="0" w:color="auto"/>
            <w:bottom w:val="none" w:sz="0" w:space="0" w:color="auto"/>
            <w:right w:val="none" w:sz="0" w:space="0" w:color="auto"/>
          </w:divBdr>
        </w:div>
      </w:divsChild>
    </w:div>
    <w:div w:id="423503720">
      <w:bodyDiv w:val="1"/>
      <w:marLeft w:val="0"/>
      <w:marRight w:val="0"/>
      <w:marTop w:val="0"/>
      <w:marBottom w:val="0"/>
      <w:divBdr>
        <w:top w:val="none" w:sz="0" w:space="0" w:color="auto"/>
        <w:left w:val="none" w:sz="0" w:space="0" w:color="auto"/>
        <w:bottom w:val="none" w:sz="0" w:space="0" w:color="auto"/>
        <w:right w:val="none" w:sz="0" w:space="0" w:color="auto"/>
      </w:divBdr>
    </w:div>
    <w:div w:id="515462665">
      <w:bodyDiv w:val="1"/>
      <w:marLeft w:val="0"/>
      <w:marRight w:val="0"/>
      <w:marTop w:val="0"/>
      <w:marBottom w:val="0"/>
      <w:divBdr>
        <w:top w:val="none" w:sz="0" w:space="0" w:color="auto"/>
        <w:left w:val="none" w:sz="0" w:space="0" w:color="auto"/>
        <w:bottom w:val="none" w:sz="0" w:space="0" w:color="auto"/>
        <w:right w:val="none" w:sz="0" w:space="0" w:color="auto"/>
      </w:divBdr>
      <w:divsChild>
        <w:div w:id="632906795">
          <w:marLeft w:val="547"/>
          <w:marRight w:val="0"/>
          <w:marTop w:val="96"/>
          <w:marBottom w:val="96"/>
          <w:divBdr>
            <w:top w:val="none" w:sz="0" w:space="0" w:color="auto"/>
            <w:left w:val="none" w:sz="0" w:space="0" w:color="auto"/>
            <w:bottom w:val="none" w:sz="0" w:space="0" w:color="auto"/>
            <w:right w:val="none" w:sz="0" w:space="0" w:color="auto"/>
          </w:divBdr>
        </w:div>
        <w:div w:id="690767433">
          <w:marLeft w:val="547"/>
          <w:marRight w:val="0"/>
          <w:marTop w:val="96"/>
          <w:marBottom w:val="96"/>
          <w:divBdr>
            <w:top w:val="none" w:sz="0" w:space="0" w:color="auto"/>
            <w:left w:val="none" w:sz="0" w:space="0" w:color="auto"/>
            <w:bottom w:val="none" w:sz="0" w:space="0" w:color="auto"/>
            <w:right w:val="none" w:sz="0" w:space="0" w:color="auto"/>
          </w:divBdr>
        </w:div>
        <w:div w:id="919489782">
          <w:marLeft w:val="547"/>
          <w:marRight w:val="0"/>
          <w:marTop w:val="96"/>
          <w:marBottom w:val="96"/>
          <w:divBdr>
            <w:top w:val="none" w:sz="0" w:space="0" w:color="auto"/>
            <w:left w:val="none" w:sz="0" w:space="0" w:color="auto"/>
            <w:bottom w:val="none" w:sz="0" w:space="0" w:color="auto"/>
            <w:right w:val="none" w:sz="0" w:space="0" w:color="auto"/>
          </w:divBdr>
        </w:div>
        <w:div w:id="2036075608">
          <w:marLeft w:val="547"/>
          <w:marRight w:val="0"/>
          <w:marTop w:val="96"/>
          <w:marBottom w:val="96"/>
          <w:divBdr>
            <w:top w:val="none" w:sz="0" w:space="0" w:color="auto"/>
            <w:left w:val="none" w:sz="0" w:space="0" w:color="auto"/>
            <w:bottom w:val="none" w:sz="0" w:space="0" w:color="auto"/>
            <w:right w:val="none" w:sz="0" w:space="0" w:color="auto"/>
          </w:divBdr>
        </w:div>
        <w:div w:id="2083940420">
          <w:marLeft w:val="994"/>
          <w:marRight w:val="0"/>
          <w:marTop w:val="86"/>
          <w:marBottom w:val="65"/>
          <w:divBdr>
            <w:top w:val="none" w:sz="0" w:space="0" w:color="auto"/>
            <w:left w:val="none" w:sz="0" w:space="0" w:color="auto"/>
            <w:bottom w:val="none" w:sz="0" w:space="0" w:color="auto"/>
            <w:right w:val="none" w:sz="0" w:space="0" w:color="auto"/>
          </w:divBdr>
        </w:div>
      </w:divsChild>
    </w:div>
    <w:div w:id="548033215">
      <w:bodyDiv w:val="1"/>
      <w:marLeft w:val="0"/>
      <w:marRight w:val="0"/>
      <w:marTop w:val="0"/>
      <w:marBottom w:val="0"/>
      <w:divBdr>
        <w:top w:val="none" w:sz="0" w:space="0" w:color="auto"/>
        <w:left w:val="none" w:sz="0" w:space="0" w:color="auto"/>
        <w:bottom w:val="none" w:sz="0" w:space="0" w:color="auto"/>
        <w:right w:val="none" w:sz="0" w:space="0" w:color="auto"/>
      </w:divBdr>
      <w:divsChild>
        <w:div w:id="1762490394">
          <w:marLeft w:val="0"/>
          <w:marRight w:val="0"/>
          <w:marTop w:val="0"/>
          <w:marBottom w:val="0"/>
          <w:divBdr>
            <w:top w:val="none" w:sz="0" w:space="0" w:color="auto"/>
            <w:left w:val="none" w:sz="0" w:space="0" w:color="auto"/>
            <w:bottom w:val="none" w:sz="0" w:space="0" w:color="auto"/>
            <w:right w:val="none" w:sz="0" w:space="0" w:color="auto"/>
          </w:divBdr>
        </w:div>
      </w:divsChild>
    </w:div>
    <w:div w:id="633175628">
      <w:bodyDiv w:val="1"/>
      <w:marLeft w:val="0"/>
      <w:marRight w:val="0"/>
      <w:marTop w:val="0"/>
      <w:marBottom w:val="0"/>
      <w:divBdr>
        <w:top w:val="none" w:sz="0" w:space="0" w:color="auto"/>
        <w:left w:val="none" w:sz="0" w:space="0" w:color="auto"/>
        <w:bottom w:val="none" w:sz="0" w:space="0" w:color="auto"/>
        <w:right w:val="none" w:sz="0" w:space="0" w:color="auto"/>
      </w:divBdr>
      <w:divsChild>
        <w:div w:id="467162032">
          <w:marLeft w:val="0"/>
          <w:marRight w:val="0"/>
          <w:marTop w:val="0"/>
          <w:marBottom w:val="0"/>
          <w:divBdr>
            <w:top w:val="none" w:sz="0" w:space="0" w:color="auto"/>
            <w:left w:val="none" w:sz="0" w:space="0" w:color="auto"/>
            <w:bottom w:val="none" w:sz="0" w:space="0" w:color="auto"/>
            <w:right w:val="none" w:sz="0" w:space="0" w:color="auto"/>
          </w:divBdr>
        </w:div>
        <w:div w:id="1002927633">
          <w:marLeft w:val="0"/>
          <w:marRight w:val="0"/>
          <w:marTop w:val="0"/>
          <w:marBottom w:val="0"/>
          <w:divBdr>
            <w:top w:val="none" w:sz="0" w:space="0" w:color="auto"/>
            <w:left w:val="none" w:sz="0" w:space="0" w:color="auto"/>
            <w:bottom w:val="none" w:sz="0" w:space="0" w:color="auto"/>
            <w:right w:val="none" w:sz="0" w:space="0" w:color="auto"/>
          </w:divBdr>
        </w:div>
        <w:div w:id="1873806514">
          <w:marLeft w:val="0"/>
          <w:marRight w:val="0"/>
          <w:marTop w:val="0"/>
          <w:marBottom w:val="0"/>
          <w:divBdr>
            <w:top w:val="none" w:sz="0" w:space="0" w:color="auto"/>
            <w:left w:val="none" w:sz="0" w:space="0" w:color="auto"/>
            <w:bottom w:val="none" w:sz="0" w:space="0" w:color="auto"/>
            <w:right w:val="none" w:sz="0" w:space="0" w:color="auto"/>
          </w:divBdr>
        </w:div>
      </w:divsChild>
    </w:div>
    <w:div w:id="633679345">
      <w:bodyDiv w:val="1"/>
      <w:marLeft w:val="0"/>
      <w:marRight w:val="0"/>
      <w:marTop w:val="0"/>
      <w:marBottom w:val="0"/>
      <w:divBdr>
        <w:top w:val="none" w:sz="0" w:space="0" w:color="auto"/>
        <w:left w:val="none" w:sz="0" w:space="0" w:color="auto"/>
        <w:bottom w:val="none" w:sz="0" w:space="0" w:color="auto"/>
        <w:right w:val="none" w:sz="0" w:space="0" w:color="auto"/>
      </w:divBdr>
    </w:div>
    <w:div w:id="645279917">
      <w:bodyDiv w:val="1"/>
      <w:marLeft w:val="0"/>
      <w:marRight w:val="0"/>
      <w:marTop w:val="0"/>
      <w:marBottom w:val="0"/>
      <w:divBdr>
        <w:top w:val="none" w:sz="0" w:space="0" w:color="auto"/>
        <w:left w:val="none" w:sz="0" w:space="0" w:color="auto"/>
        <w:bottom w:val="none" w:sz="0" w:space="0" w:color="auto"/>
        <w:right w:val="none" w:sz="0" w:space="0" w:color="auto"/>
      </w:divBdr>
    </w:div>
    <w:div w:id="689071423">
      <w:bodyDiv w:val="1"/>
      <w:marLeft w:val="0"/>
      <w:marRight w:val="0"/>
      <w:marTop w:val="0"/>
      <w:marBottom w:val="0"/>
      <w:divBdr>
        <w:top w:val="none" w:sz="0" w:space="0" w:color="auto"/>
        <w:left w:val="none" w:sz="0" w:space="0" w:color="auto"/>
        <w:bottom w:val="none" w:sz="0" w:space="0" w:color="auto"/>
        <w:right w:val="none" w:sz="0" w:space="0" w:color="auto"/>
      </w:divBdr>
      <w:divsChild>
        <w:div w:id="480729967">
          <w:marLeft w:val="0"/>
          <w:marRight w:val="0"/>
          <w:marTop w:val="0"/>
          <w:marBottom w:val="0"/>
          <w:divBdr>
            <w:top w:val="none" w:sz="0" w:space="0" w:color="auto"/>
            <w:left w:val="none" w:sz="0" w:space="0" w:color="auto"/>
            <w:bottom w:val="none" w:sz="0" w:space="0" w:color="auto"/>
            <w:right w:val="none" w:sz="0" w:space="0" w:color="auto"/>
          </w:divBdr>
        </w:div>
        <w:div w:id="1686444311">
          <w:marLeft w:val="0"/>
          <w:marRight w:val="0"/>
          <w:marTop w:val="0"/>
          <w:marBottom w:val="0"/>
          <w:divBdr>
            <w:top w:val="none" w:sz="0" w:space="0" w:color="auto"/>
            <w:left w:val="none" w:sz="0" w:space="0" w:color="auto"/>
            <w:bottom w:val="none" w:sz="0" w:space="0" w:color="auto"/>
            <w:right w:val="none" w:sz="0" w:space="0" w:color="auto"/>
          </w:divBdr>
        </w:div>
      </w:divsChild>
    </w:div>
    <w:div w:id="708337877">
      <w:bodyDiv w:val="1"/>
      <w:marLeft w:val="0"/>
      <w:marRight w:val="0"/>
      <w:marTop w:val="0"/>
      <w:marBottom w:val="0"/>
      <w:divBdr>
        <w:top w:val="none" w:sz="0" w:space="0" w:color="auto"/>
        <w:left w:val="none" w:sz="0" w:space="0" w:color="auto"/>
        <w:bottom w:val="none" w:sz="0" w:space="0" w:color="auto"/>
        <w:right w:val="none" w:sz="0" w:space="0" w:color="auto"/>
      </w:divBdr>
    </w:div>
    <w:div w:id="755713752">
      <w:bodyDiv w:val="1"/>
      <w:marLeft w:val="0"/>
      <w:marRight w:val="0"/>
      <w:marTop w:val="0"/>
      <w:marBottom w:val="0"/>
      <w:divBdr>
        <w:top w:val="none" w:sz="0" w:space="0" w:color="auto"/>
        <w:left w:val="none" w:sz="0" w:space="0" w:color="auto"/>
        <w:bottom w:val="none" w:sz="0" w:space="0" w:color="auto"/>
        <w:right w:val="none" w:sz="0" w:space="0" w:color="auto"/>
      </w:divBdr>
      <w:divsChild>
        <w:div w:id="89158676">
          <w:marLeft w:val="547"/>
          <w:marRight w:val="0"/>
          <w:marTop w:val="96"/>
          <w:marBottom w:val="96"/>
          <w:divBdr>
            <w:top w:val="none" w:sz="0" w:space="0" w:color="auto"/>
            <w:left w:val="none" w:sz="0" w:space="0" w:color="auto"/>
            <w:bottom w:val="none" w:sz="0" w:space="0" w:color="auto"/>
            <w:right w:val="none" w:sz="0" w:space="0" w:color="auto"/>
          </w:divBdr>
        </w:div>
        <w:div w:id="287860678">
          <w:marLeft w:val="547"/>
          <w:marRight w:val="0"/>
          <w:marTop w:val="96"/>
          <w:marBottom w:val="96"/>
          <w:divBdr>
            <w:top w:val="none" w:sz="0" w:space="0" w:color="auto"/>
            <w:left w:val="none" w:sz="0" w:space="0" w:color="auto"/>
            <w:bottom w:val="none" w:sz="0" w:space="0" w:color="auto"/>
            <w:right w:val="none" w:sz="0" w:space="0" w:color="auto"/>
          </w:divBdr>
        </w:div>
        <w:div w:id="287975576">
          <w:marLeft w:val="547"/>
          <w:marRight w:val="0"/>
          <w:marTop w:val="96"/>
          <w:marBottom w:val="96"/>
          <w:divBdr>
            <w:top w:val="none" w:sz="0" w:space="0" w:color="auto"/>
            <w:left w:val="none" w:sz="0" w:space="0" w:color="auto"/>
            <w:bottom w:val="none" w:sz="0" w:space="0" w:color="auto"/>
            <w:right w:val="none" w:sz="0" w:space="0" w:color="auto"/>
          </w:divBdr>
        </w:div>
        <w:div w:id="332684191">
          <w:marLeft w:val="994"/>
          <w:marRight w:val="0"/>
          <w:marTop w:val="86"/>
          <w:marBottom w:val="65"/>
          <w:divBdr>
            <w:top w:val="none" w:sz="0" w:space="0" w:color="auto"/>
            <w:left w:val="none" w:sz="0" w:space="0" w:color="auto"/>
            <w:bottom w:val="none" w:sz="0" w:space="0" w:color="auto"/>
            <w:right w:val="none" w:sz="0" w:space="0" w:color="auto"/>
          </w:divBdr>
        </w:div>
        <w:div w:id="657616659">
          <w:marLeft w:val="994"/>
          <w:marRight w:val="0"/>
          <w:marTop w:val="86"/>
          <w:marBottom w:val="65"/>
          <w:divBdr>
            <w:top w:val="none" w:sz="0" w:space="0" w:color="auto"/>
            <w:left w:val="none" w:sz="0" w:space="0" w:color="auto"/>
            <w:bottom w:val="none" w:sz="0" w:space="0" w:color="auto"/>
            <w:right w:val="none" w:sz="0" w:space="0" w:color="auto"/>
          </w:divBdr>
        </w:div>
        <w:div w:id="1146510733">
          <w:marLeft w:val="994"/>
          <w:marRight w:val="0"/>
          <w:marTop w:val="86"/>
          <w:marBottom w:val="65"/>
          <w:divBdr>
            <w:top w:val="none" w:sz="0" w:space="0" w:color="auto"/>
            <w:left w:val="none" w:sz="0" w:space="0" w:color="auto"/>
            <w:bottom w:val="none" w:sz="0" w:space="0" w:color="auto"/>
            <w:right w:val="none" w:sz="0" w:space="0" w:color="auto"/>
          </w:divBdr>
        </w:div>
        <w:div w:id="1236819592">
          <w:marLeft w:val="547"/>
          <w:marRight w:val="0"/>
          <w:marTop w:val="96"/>
          <w:marBottom w:val="96"/>
          <w:divBdr>
            <w:top w:val="none" w:sz="0" w:space="0" w:color="auto"/>
            <w:left w:val="none" w:sz="0" w:space="0" w:color="auto"/>
            <w:bottom w:val="none" w:sz="0" w:space="0" w:color="auto"/>
            <w:right w:val="none" w:sz="0" w:space="0" w:color="auto"/>
          </w:divBdr>
        </w:div>
        <w:div w:id="1513178747">
          <w:marLeft w:val="994"/>
          <w:marRight w:val="0"/>
          <w:marTop w:val="86"/>
          <w:marBottom w:val="65"/>
          <w:divBdr>
            <w:top w:val="none" w:sz="0" w:space="0" w:color="auto"/>
            <w:left w:val="none" w:sz="0" w:space="0" w:color="auto"/>
            <w:bottom w:val="none" w:sz="0" w:space="0" w:color="auto"/>
            <w:right w:val="none" w:sz="0" w:space="0" w:color="auto"/>
          </w:divBdr>
        </w:div>
        <w:div w:id="1550604392">
          <w:marLeft w:val="994"/>
          <w:marRight w:val="0"/>
          <w:marTop w:val="86"/>
          <w:marBottom w:val="65"/>
          <w:divBdr>
            <w:top w:val="none" w:sz="0" w:space="0" w:color="auto"/>
            <w:left w:val="none" w:sz="0" w:space="0" w:color="auto"/>
            <w:bottom w:val="none" w:sz="0" w:space="0" w:color="auto"/>
            <w:right w:val="none" w:sz="0" w:space="0" w:color="auto"/>
          </w:divBdr>
        </w:div>
        <w:div w:id="1589458818">
          <w:marLeft w:val="994"/>
          <w:marRight w:val="0"/>
          <w:marTop w:val="86"/>
          <w:marBottom w:val="65"/>
          <w:divBdr>
            <w:top w:val="none" w:sz="0" w:space="0" w:color="auto"/>
            <w:left w:val="none" w:sz="0" w:space="0" w:color="auto"/>
            <w:bottom w:val="none" w:sz="0" w:space="0" w:color="auto"/>
            <w:right w:val="none" w:sz="0" w:space="0" w:color="auto"/>
          </w:divBdr>
        </w:div>
        <w:div w:id="1975284452">
          <w:marLeft w:val="547"/>
          <w:marRight w:val="0"/>
          <w:marTop w:val="96"/>
          <w:marBottom w:val="96"/>
          <w:divBdr>
            <w:top w:val="none" w:sz="0" w:space="0" w:color="auto"/>
            <w:left w:val="none" w:sz="0" w:space="0" w:color="auto"/>
            <w:bottom w:val="none" w:sz="0" w:space="0" w:color="auto"/>
            <w:right w:val="none" w:sz="0" w:space="0" w:color="auto"/>
          </w:divBdr>
        </w:div>
        <w:div w:id="2125466355">
          <w:marLeft w:val="994"/>
          <w:marRight w:val="0"/>
          <w:marTop w:val="86"/>
          <w:marBottom w:val="65"/>
          <w:divBdr>
            <w:top w:val="none" w:sz="0" w:space="0" w:color="auto"/>
            <w:left w:val="none" w:sz="0" w:space="0" w:color="auto"/>
            <w:bottom w:val="none" w:sz="0" w:space="0" w:color="auto"/>
            <w:right w:val="none" w:sz="0" w:space="0" w:color="auto"/>
          </w:divBdr>
        </w:div>
      </w:divsChild>
    </w:div>
    <w:div w:id="886988183">
      <w:bodyDiv w:val="1"/>
      <w:marLeft w:val="0"/>
      <w:marRight w:val="0"/>
      <w:marTop w:val="0"/>
      <w:marBottom w:val="0"/>
      <w:divBdr>
        <w:top w:val="none" w:sz="0" w:space="0" w:color="auto"/>
        <w:left w:val="none" w:sz="0" w:space="0" w:color="auto"/>
        <w:bottom w:val="none" w:sz="0" w:space="0" w:color="auto"/>
        <w:right w:val="none" w:sz="0" w:space="0" w:color="auto"/>
      </w:divBdr>
      <w:divsChild>
        <w:div w:id="13777079">
          <w:marLeft w:val="994"/>
          <w:marRight w:val="0"/>
          <w:marTop w:val="86"/>
          <w:marBottom w:val="65"/>
          <w:divBdr>
            <w:top w:val="none" w:sz="0" w:space="0" w:color="auto"/>
            <w:left w:val="none" w:sz="0" w:space="0" w:color="auto"/>
            <w:bottom w:val="none" w:sz="0" w:space="0" w:color="auto"/>
            <w:right w:val="none" w:sz="0" w:space="0" w:color="auto"/>
          </w:divBdr>
        </w:div>
        <w:div w:id="518088155">
          <w:marLeft w:val="994"/>
          <w:marRight w:val="0"/>
          <w:marTop w:val="86"/>
          <w:marBottom w:val="65"/>
          <w:divBdr>
            <w:top w:val="none" w:sz="0" w:space="0" w:color="auto"/>
            <w:left w:val="none" w:sz="0" w:space="0" w:color="auto"/>
            <w:bottom w:val="none" w:sz="0" w:space="0" w:color="auto"/>
            <w:right w:val="none" w:sz="0" w:space="0" w:color="auto"/>
          </w:divBdr>
        </w:div>
        <w:div w:id="708997743">
          <w:marLeft w:val="994"/>
          <w:marRight w:val="0"/>
          <w:marTop w:val="86"/>
          <w:marBottom w:val="65"/>
          <w:divBdr>
            <w:top w:val="none" w:sz="0" w:space="0" w:color="auto"/>
            <w:left w:val="none" w:sz="0" w:space="0" w:color="auto"/>
            <w:bottom w:val="none" w:sz="0" w:space="0" w:color="auto"/>
            <w:right w:val="none" w:sz="0" w:space="0" w:color="auto"/>
          </w:divBdr>
        </w:div>
        <w:div w:id="713190555">
          <w:marLeft w:val="994"/>
          <w:marRight w:val="0"/>
          <w:marTop w:val="86"/>
          <w:marBottom w:val="65"/>
          <w:divBdr>
            <w:top w:val="none" w:sz="0" w:space="0" w:color="auto"/>
            <w:left w:val="none" w:sz="0" w:space="0" w:color="auto"/>
            <w:bottom w:val="none" w:sz="0" w:space="0" w:color="auto"/>
            <w:right w:val="none" w:sz="0" w:space="0" w:color="auto"/>
          </w:divBdr>
        </w:div>
        <w:div w:id="938565708">
          <w:marLeft w:val="994"/>
          <w:marRight w:val="0"/>
          <w:marTop w:val="86"/>
          <w:marBottom w:val="65"/>
          <w:divBdr>
            <w:top w:val="none" w:sz="0" w:space="0" w:color="auto"/>
            <w:left w:val="none" w:sz="0" w:space="0" w:color="auto"/>
            <w:bottom w:val="none" w:sz="0" w:space="0" w:color="auto"/>
            <w:right w:val="none" w:sz="0" w:space="0" w:color="auto"/>
          </w:divBdr>
        </w:div>
        <w:div w:id="1005405547">
          <w:marLeft w:val="994"/>
          <w:marRight w:val="0"/>
          <w:marTop w:val="86"/>
          <w:marBottom w:val="65"/>
          <w:divBdr>
            <w:top w:val="none" w:sz="0" w:space="0" w:color="auto"/>
            <w:left w:val="none" w:sz="0" w:space="0" w:color="auto"/>
            <w:bottom w:val="none" w:sz="0" w:space="0" w:color="auto"/>
            <w:right w:val="none" w:sz="0" w:space="0" w:color="auto"/>
          </w:divBdr>
        </w:div>
        <w:div w:id="1016275962">
          <w:marLeft w:val="994"/>
          <w:marRight w:val="0"/>
          <w:marTop w:val="86"/>
          <w:marBottom w:val="65"/>
          <w:divBdr>
            <w:top w:val="none" w:sz="0" w:space="0" w:color="auto"/>
            <w:left w:val="none" w:sz="0" w:space="0" w:color="auto"/>
            <w:bottom w:val="none" w:sz="0" w:space="0" w:color="auto"/>
            <w:right w:val="none" w:sz="0" w:space="0" w:color="auto"/>
          </w:divBdr>
        </w:div>
        <w:div w:id="1081946789">
          <w:marLeft w:val="994"/>
          <w:marRight w:val="0"/>
          <w:marTop w:val="86"/>
          <w:marBottom w:val="65"/>
          <w:divBdr>
            <w:top w:val="none" w:sz="0" w:space="0" w:color="auto"/>
            <w:left w:val="none" w:sz="0" w:space="0" w:color="auto"/>
            <w:bottom w:val="none" w:sz="0" w:space="0" w:color="auto"/>
            <w:right w:val="none" w:sz="0" w:space="0" w:color="auto"/>
          </w:divBdr>
        </w:div>
        <w:div w:id="1789659999">
          <w:marLeft w:val="994"/>
          <w:marRight w:val="0"/>
          <w:marTop w:val="86"/>
          <w:marBottom w:val="65"/>
          <w:divBdr>
            <w:top w:val="none" w:sz="0" w:space="0" w:color="auto"/>
            <w:left w:val="none" w:sz="0" w:space="0" w:color="auto"/>
            <w:bottom w:val="none" w:sz="0" w:space="0" w:color="auto"/>
            <w:right w:val="none" w:sz="0" w:space="0" w:color="auto"/>
          </w:divBdr>
        </w:div>
        <w:div w:id="2025203776">
          <w:marLeft w:val="994"/>
          <w:marRight w:val="0"/>
          <w:marTop w:val="86"/>
          <w:marBottom w:val="65"/>
          <w:divBdr>
            <w:top w:val="none" w:sz="0" w:space="0" w:color="auto"/>
            <w:left w:val="none" w:sz="0" w:space="0" w:color="auto"/>
            <w:bottom w:val="none" w:sz="0" w:space="0" w:color="auto"/>
            <w:right w:val="none" w:sz="0" w:space="0" w:color="auto"/>
          </w:divBdr>
        </w:div>
      </w:divsChild>
    </w:div>
    <w:div w:id="926814121">
      <w:bodyDiv w:val="1"/>
      <w:marLeft w:val="0"/>
      <w:marRight w:val="0"/>
      <w:marTop w:val="0"/>
      <w:marBottom w:val="0"/>
      <w:divBdr>
        <w:top w:val="none" w:sz="0" w:space="0" w:color="auto"/>
        <w:left w:val="none" w:sz="0" w:space="0" w:color="auto"/>
        <w:bottom w:val="none" w:sz="0" w:space="0" w:color="auto"/>
        <w:right w:val="none" w:sz="0" w:space="0" w:color="auto"/>
      </w:divBdr>
    </w:div>
    <w:div w:id="1008023548">
      <w:bodyDiv w:val="1"/>
      <w:marLeft w:val="0"/>
      <w:marRight w:val="0"/>
      <w:marTop w:val="0"/>
      <w:marBottom w:val="0"/>
      <w:divBdr>
        <w:top w:val="none" w:sz="0" w:space="0" w:color="auto"/>
        <w:left w:val="none" w:sz="0" w:space="0" w:color="auto"/>
        <w:bottom w:val="none" w:sz="0" w:space="0" w:color="auto"/>
        <w:right w:val="none" w:sz="0" w:space="0" w:color="auto"/>
      </w:divBdr>
      <w:divsChild>
        <w:div w:id="1776516947">
          <w:marLeft w:val="0"/>
          <w:marRight w:val="0"/>
          <w:marTop w:val="0"/>
          <w:marBottom w:val="0"/>
          <w:divBdr>
            <w:top w:val="none" w:sz="0" w:space="0" w:color="auto"/>
            <w:left w:val="none" w:sz="0" w:space="0" w:color="auto"/>
            <w:bottom w:val="none" w:sz="0" w:space="0" w:color="auto"/>
            <w:right w:val="none" w:sz="0" w:space="0" w:color="auto"/>
          </w:divBdr>
        </w:div>
      </w:divsChild>
    </w:div>
    <w:div w:id="1235819620">
      <w:bodyDiv w:val="1"/>
      <w:marLeft w:val="0"/>
      <w:marRight w:val="0"/>
      <w:marTop w:val="0"/>
      <w:marBottom w:val="0"/>
      <w:divBdr>
        <w:top w:val="none" w:sz="0" w:space="0" w:color="auto"/>
        <w:left w:val="none" w:sz="0" w:space="0" w:color="auto"/>
        <w:bottom w:val="none" w:sz="0" w:space="0" w:color="auto"/>
        <w:right w:val="none" w:sz="0" w:space="0" w:color="auto"/>
      </w:divBdr>
      <w:divsChild>
        <w:div w:id="919364370">
          <w:marLeft w:val="0"/>
          <w:marRight w:val="0"/>
          <w:marTop w:val="0"/>
          <w:marBottom w:val="0"/>
          <w:divBdr>
            <w:top w:val="none" w:sz="0" w:space="0" w:color="auto"/>
            <w:left w:val="none" w:sz="0" w:space="0" w:color="auto"/>
            <w:bottom w:val="none" w:sz="0" w:space="0" w:color="auto"/>
            <w:right w:val="none" w:sz="0" w:space="0" w:color="auto"/>
          </w:divBdr>
        </w:div>
      </w:divsChild>
    </w:div>
    <w:div w:id="1790660381">
      <w:bodyDiv w:val="1"/>
      <w:marLeft w:val="0"/>
      <w:marRight w:val="0"/>
      <w:marTop w:val="0"/>
      <w:marBottom w:val="0"/>
      <w:divBdr>
        <w:top w:val="none" w:sz="0" w:space="0" w:color="auto"/>
        <w:left w:val="none" w:sz="0" w:space="0" w:color="auto"/>
        <w:bottom w:val="none" w:sz="0" w:space="0" w:color="auto"/>
        <w:right w:val="none" w:sz="0" w:space="0" w:color="auto"/>
      </w:divBdr>
    </w:div>
    <w:div w:id="1924139619">
      <w:bodyDiv w:val="1"/>
      <w:marLeft w:val="0"/>
      <w:marRight w:val="0"/>
      <w:marTop w:val="0"/>
      <w:marBottom w:val="0"/>
      <w:divBdr>
        <w:top w:val="none" w:sz="0" w:space="0" w:color="auto"/>
        <w:left w:val="none" w:sz="0" w:space="0" w:color="auto"/>
        <w:bottom w:val="none" w:sz="0" w:space="0" w:color="auto"/>
        <w:right w:val="none" w:sz="0" w:space="0" w:color="auto"/>
      </w:divBdr>
      <w:divsChild>
        <w:div w:id="1119957672">
          <w:marLeft w:val="547"/>
          <w:marRight w:val="0"/>
          <w:marTop w:val="96"/>
          <w:marBottom w:val="96"/>
          <w:divBdr>
            <w:top w:val="none" w:sz="0" w:space="0" w:color="auto"/>
            <w:left w:val="none" w:sz="0" w:space="0" w:color="auto"/>
            <w:bottom w:val="none" w:sz="0" w:space="0" w:color="auto"/>
            <w:right w:val="none" w:sz="0" w:space="0" w:color="auto"/>
          </w:divBdr>
        </w:div>
        <w:div w:id="1300259789">
          <w:marLeft w:val="547"/>
          <w:marRight w:val="0"/>
          <w:marTop w:val="96"/>
          <w:marBottom w:val="96"/>
          <w:divBdr>
            <w:top w:val="none" w:sz="0" w:space="0" w:color="auto"/>
            <w:left w:val="none" w:sz="0" w:space="0" w:color="auto"/>
            <w:bottom w:val="none" w:sz="0" w:space="0" w:color="auto"/>
            <w:right w:val="none" w:sz="0" w:space="0" w:color="auto"/>
          </w:divBdr>
        </w:div>
        <w:div w:id="1708414133">
          <w:marLeft w:val="547"/>
          <w:marRight w:val="0"/>
          <w:marTop w:val="96"/>
          <w:marBottom w:val="96"/>
          <w:divBdr>
            <w:top w:val="none" w:sz="0" w:space="0" w:color="auto"/>
            <w:left w:val="none" w:sz="0" w:space="0" w:color="auto"/>
            <w:bottom w:val="none" w:sz="0" w:space="0" w:color="auto"/>
            <w:right w:val="none" w:sz="0" w:space="0" w:color="auto"/>
          </w:divBdr>
        </w:div>
      </w:divsChild>
    </w:div>
    <w:div w:id="1992324305">
      <w:bodyDiv w:val="1"/>
      <w:marLeft w:val="0"/>
      <w:marRight w:val="0"/>
      <w:marTop w:val="0"/>
      <w:marBottom w:val="0"/>
      <w:divBdr>
        <w:top w:val="none" w:sz="0" w:space="0" w:color="auto"/>
        <w:left w:val="none" w:sz="0" w:space="0" w:color="auto"/>
        <w:bottom w:val="none" w:sz="0" w:space="0" w:color="auto"/>
        <w:right w:val="none" w:sz="0" w:space="0" w:color="auto"/>
      </w:divBdr>
      <w:divsChild>
        <w:div w:id="1383409428">
          <w:marLeft w:val="0"/>
          <w:marRight w:val="0"/>
          <w:marTop w:val="0"/>
          <w:marBottom w:val="0"/>
          <w:divBdr>
            <w:top w:val="none" w:sz="0" w:space="0" w:color="auto"/>
            <w:left w:val="none" w:sz="0" w:space="0" w:color="auto"/>
            <w:bottom w:val="none" w:sz="0" w:space="0" w:color="auto"/>
            <w:right w:val="none" w:sz="0" w:space="0" w:color="auto"/>
          </w:divBdr>
        </w:div>
      </w:divsChild>
    </w:div>
    <w:div w:id="1996638740">
      <w:bodyDiv w:val="1"/>
      <w:marLeft w:val="0"/>
      <w:marRight w:val="0"/>
      <w:marTop w:val="0"/>
      <w:marBottom w:val="0"/>
      <w:divBdr>
        <w:top w:val="none" w:sz="0" w:space="0" w:color="auto"/>
        <w:left w:val="none" w:sz="0" w:space="0" w:color="auto"/>
        <w:bottom w:val="none" w:sz="0" w:space="0" w:color="auto"/>
        <w:right w:val="none" w:sz="0" w:space="0" w:color="auto"/>
      </w:divBdr>
      <w:divsChild>
        <w:div w:id="887061022">
          <w:marLeft w:val="0"/>
          <w:marRight w:val="0"/>
          <w:marTop w:val="0"/>
          <w:marBottom w:val="0"/>
          <w:divBdr>
            <w:top w:val="none" w:sz="0" w:space="0" w:color="auto"/>
            <w:left w:val="none" w:sz="0" w:space="0" w:color="auto"/>
            <w:bottom w:val="none" w:sz="0" w:space="0" w:color="auto"/>
            <w:right w:val="none" w:sz="0" w:space="0" w:color="auto"/>
          </w:divBdr>
        </w:div>
      </w:divsChild>
    </w:div>
    <w:div w:id="2005738560">
      <w:bodyDiv w:val="1"/>
      <w:marLeft w:val="0"/>
      <w:marRight w:val="0"/>
      <w:marTop w:val="0"/>
      <w:marBottom w:val="0"/>
      <w:divBdr>
        <w:top w:val="none" w:sz="0" w:space="0" w:color="auto"/>
        <w:left w:val="none" w:sz="0" w:space="0" w:color="auto"/>
        <w:bottom w:val="none" w:sz="0" w:space="0" w:color="auto"/>
        <w:right w:val="none" w:sz="0" w:space="0" w:color="auto"/>
      </w:divBdr>
      <w:divsChild>
        <w:div w:id="429938697">
          <w:marLeft w:val="0"/>
          <w:marRight w:val="0"/>
          <w:marTop w:val="0"/>
          <w:marBottom w:val="0"/>
          <w:divBdr>
            <w:top w:val="none" w:sz="0" w:space="0" w:color="auto"/>
            <w:left w:val="none" w:sz="0" w:space="0" w:color="auto"/>
            <w:bottom w:val="none" w:sz="0" w:space="0" w:color="auto"/>
            <w:right w:val="none" w:sz="0" w:space="0" w:color="auto"/>
          </w:divBdr>
        </w:div>
      </w:divsChild>
    </w:div>
    <w:div w:id="2008165094">
      <w:bodyDiv w:val="1"/>
      <w:marLeft w:val="0"/>
      <w:marRight w:val="0"/>
      <w:marTop w:val="0"/>
      <w:marBottom w:val="0"/>
      <w:divBdr>
        <w:top w:val="none" w:sz="0" w:space="0" w:color="auto"/>
        <w:left w:val="none" w:sz="0" w:space="0" w:color="auto"/>
        <w:bottom w:val="none" w:sz="0" w:space="0" w:color="auto"/>
        <w:right w:val="none" w:sz="0" w:space="0" w:color="auto"/>
      </w:divBdr>
    </w:div>
    <w:div w:id="20350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dat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8BD9-6496-4EBB-9CCE-2E0D41FA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4681</Characters>
  <Application>Microsoft Office Word</Application>
  <DocSecurity>0</DocSecurity>
  <Lines>39</Lines>
  <Paragraphs>10</Paragraphs>
  <ScaleCrop>false</ScaleCrop>
  <HeadingPairs>
    <vt:vector size="6" baseType="variant">
      <vt:variant>
        <vt:lpstr>Název</vt:lpstr>
      </vt:variant>
      <vt:variant>
        <vt:i4>1</vt:i4>
      </vt:variant>
      <vt:variant>
        <vt:lpstr>Tytuł</vt:lpstr>
      </vt:variant>
      <vt:variant>
        <vt:i4>1</vt:i4>
      </vt:variant>
      <vt:variant>
        <vt:lpstr>Title</vt:lpstr>
      </vt:variant>
      <vt:variant>
        <vt:i4>1</vt:i4>
      </vt:variant>
    </vt:vector>
  </HeadingPairs>
  <TitlesOfParts>
    <vt:vector size="3" baseType="lpstr">
      <vt:lpstr>Datapoint</vt:lpstr>
      <vt:lpstr>Datapoint</vt:lpstr>
      <vt:lpstr>Datapoint</vt:lpstr>
    </vt:vector>
  </TitlesOfParts>
  <Company>HP</Company>
  <LinksUpToDate>false</LinksUpToDate>
  <CharactersWithSpaces>5451</CharactersWithSpaces>
  <SharedDoc>false</SharedDoc>
  <HLinks>
    <vt:vector size="6" baseType="variant">
      <vt:variant>
        <vt:i4>73</vt:i4>
      </vt:variant>
      <vt:variant>
        <vt:i4>0</vt:i4>
      </vt:variant>
      <vt:variant>
        <vt:i4>0</vt:i4>
      </vt:variant>
      <vt:variant>
        <vt:i4>5</vt:i4>
      </vt:variant>
      <vt:variant>
        <vt:lpwstr>http://m.in/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Datapoint</dc:title>
  <dc:creator>Aleksandra Prusator</dc:creator>
  <cp:lastModifiedBy>Aleksandra Prusator</cp:lastModifiedBy>
  <cp:revision>3</cp:revision>
  <cp:lastPrinted>2014-04-15T11:20:00Z</cp:lastPrinted>
  <dcterms:created xsi:type="dcterms:W3CDTF">2014-05-14T13:53:00Z</dcterms:created>
  <dcterms:modified xsi:type="dcterms:W3CDTF">2014-10-21T07:32:00Z</dcterms:modified>
</cp:coreProperties>
</file>