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9331E" w14:textId="77777777" w:rsidR="00AD4774" w:rsidRPr="00BF7C57" w:rsidRDefault="00AD4774" w:rsidP="004B627C">
      <w:pPr>
        <w:jc w:val="both"/>
        <w:rPr>
          <w:rFonts w:ascii="Century Gothic" w:eastAsia="Arial Unicode MS" w:hAnsi="Century Gothic" w:cs="Arial Unicode MS"/>
          <w:color w:val="24323C"/>
          <w:szCs w:val="24"/>
        </w:rPr>
      </w:pPr>
    </w:p>
    <w:p w14:paraId="343AD4B9" w14:textId="77777777" w:rsidR="00AD4774" w:rsidRPr="00BF7C57" w:rsidRDefault="00A614F4" w:rsidP="00AD4774">
      <w:pPr>
        <w:jc w:val="right"/>
        <w:rPr>
          <w:rFonts w:ascii="Century Gothic" w:eastAsia="Arial Unicode MS" w:hAnsi="Century Gothic" w:cs="Arial Unicode MS"/>
          <w:color w:val="24323C"/>
          <w:szCs w:val="24"/>
        </w:rPr>
      </w:pPr>
      <w:r w:rsidRPr="00BF7C57">
        <w:rPr>
          <w:rFonts w:ascii="Century Gothic" w:eastAsia="Arial Unicode MS" w:hAnsi="Century Gothic" w:cs="Arial Unicode MS"/>
          <w:color w:val="24323C"/>
          <w:szCs w:val="24"/>
        </w:rPr>
        <w:t>Warszawa, 04.04</w:t>
      </w:r>
      <w:r w:rsidR="00AD4774" w:rsidRPr="00BF7C57">
        <w:rPr>
          <w:rFonts w:ascii="Century Gothic" w:eastAsia="Arial Unicode MS" w:hAnsi="Century Gothic" w:cs="Arial Unicode MS"/>
          <w:color w:val="24323C"/>
          <w:szCs w:val="24"/>
        </w:rPr>
        <w:t>.2016</w:t>
      </w:r>
    </w:p>
    <w:p w14:paraId="4FFF9A58" w14:textId="77777777" w:rsidR="00AD4774" w:rsidRPr="00BF7C57" w:rsidRDefault="00AD4774" w:rsidP="00AD4774">
      <w:pPr>
        <w:spacing w:line="240" w:lineRule="auto"/>
        <w:rPr>
          <w:rFonts w:ascii="Century Gothic" w:eastAsia="Arial Unicode MS" w:hAnsi="Century Gothic" w:cs="Arial Unicode MS"/>
          <w:b/>
          <w:color w:val="24323C"/>
          <w:szCs w:val="24"/>
        </w:rPr>
      </w:pPr>
    </w:p>
    <w:p w14:paraId="1BD0F358" w14:textId="77777777" w:rsidR="00AD4774" w:rsidRPr="00BF7C57" w:rsidRDefault="00A614F4" w:rsidP="00AD4774">
      <w:pPr>
        <w:spacing w:line="240" w:lineRule="auto"/>
        <w:rPr>
          <w:rFonts w:ascii="Century Gothic" w:eastAsia="Arial Unicode MS" w:hAnsi="Century Gothic" w:cs="Arial Unicode MS"/>
          <w:b/>
          <w:color w:val="24323C"/>
          <w:szCs w:val="24"/>
        </w:rPr>
      </w:pPr>
      <w:r w:rsidRPr="00BF7C57">
        <w:rPr>
          <w:rFonts w:ascii="Century Gothic" w:eastAsia="Arial Unicode MS" w:hAnsi="Century Gothic" w:cs="Arial Unicode MS"/>
          <w:b/>
          <w:color w:val="24323C"/>
          <w:szCs w:val="24"/>
        </w:rPr>
        <w:t>M&amp;A Index Poland 1Q 2016</w:t>
      </w:r>
      <w:r w:rsidR="00AD4774" w:rsidRPr="00BF7C57">
        <w:rPr>
          <w:rFonts w:ascii="Century Gothic" w:eastAsia="Arial Unicode MS" w:hAnsi="Century Gothic" w:cs="Arial Unicode MS"/>
          <w:b/>
          <w:color w:val="24323C"/>
          <w:szCs w:val="24"/>
        </w:rPr>
        <w:br/>
      </w:r>
      <w:r w:rsidR="00AD4774" w:rsidRPr="00BF7C57">
        <w:rPr>
          <w:rFonts w:ascii="Century Gothic" w:eastAsia="Arial Unicode MS" w:hAnsi="Century Gothic" w:cs="Arial Unicode MS"/>
          <w:color w:val="24323C"/>
          <w:szCs w:val="24"/>
        </w:rPr>
        <w:t>Fuzje i przejęcia w Polsce w</w:t>
      </w:r>
      <w:r w:rsidRPr="00BF7C57">
        <w:rPr>
          <w:rFonts w:ascii="Century Gothic" w:eastAsia="Arial Unicode MS" w:hAnsi="Century Gothic" w:cs="Arial Unicode MS"/>
          <w:color w:val="24323C"/>
          <w:szCs w:val="24"/>
        </w:rPr>
        <w:t xml:space="preserve"> pierwszym kwartale 2016</w:t>
      </w:r>
      <w:r w:rsidR="00AD4774" w:rsidRPr="00BF7C57">
        <w:rPr>
          <w:rFonts w:ascii="Century Gothic" w:eastAsia="Arial Unicode MS" w:hAnsi="Century Gothic" w:cs="Arial Unicode MS"/>
          <w:color w:val="24323C"/>
          <w:szCs w:val="24"/>
        </w:rPr>
        <w:t xml:space="preserve"> roku</w:t>
      </w:r>
    </w:p>
    <w:p w14:paraId="3A14347C" w14:textId="77777777" w:rsidR="00AD4774" w:rsidRPr="00BF7C57" w:rsidRDefault="00AD4774" w:rsidP="004B627C">
      <w:pPr>
        <w:jc w:val="both"/>
        <w:rPr>
          <w:rFonts w:ascii="Century Gothic" w:eastAsia="Arial Unicode MS" w:hAnsi="Century Gothic" w:cs="Arial Unicode MS"/>
          <w:color w:val="24323C"/>
          <w:szCs w:val="24"/>
        </w:rPr>
      </w:pPr>
    </w:p>
    <w:p w14:paraId="342E57C2" w14:textId="77777777" w:rsidR="004B627C" w:rsidRPr="00BF7C57" w:rsidRDefault="004B627C" w:rsidP="004B627C">
      <w:pPr>
        <w:jc w:val="both"/>
        <w:rPr>
          <w:rFonts w:ascii="Century Gothic" w:hAnsi="Century Gothic"/>
          <w:color w:val="099146"/>
          <w:szCs w:val="24"/>
        </w:rPr>
      </w:pPr>
      <w:r w:rsidRPr="00BF7C57">
        <w:rPr>
          <w:rFonts w:ascii="Century Gothic" w:hAnsi="Century Gothic"/>
          <w:color w:val="099146"/>
          <w:szCs w:val="24"/>
        </w:rPr>
        <w:t>Eksperci FORDATA, lidera w zakresie rozwi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za</w:t>
      </w:r>
      <w:r w:rsidRPr="00BF7C57">
        <w:rPr>
          <w:rFonts w:ascii="Century Gothic" w:hAnsi="Century Gothic" w:cs="Lucida Grande"/>
          <w:color w:val="099146"/>
          <w:szCs w:val="24"/>
        </w:rPr>
        <w:t>ń</w:t>
      </w:r>
      <w:r w:rsidRPr="00BF7C57">
        <w:rPr>
          <w:rFonts w:ascii="Century Gothic" w:hAnsi="Century Gothic"/>
          <w:color w:val="099146"/>
          <w:szCs w:val="24"/>
        </w:rPr>
        <w:t xml:space="preserve"> Virtual Data Room wspieraj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cych realizacj</w:t>
      </w:r>
      <w:r w:rsidRPr="00BF7C57">
        <w:rPr>
          <w:rFonts w:ascii="Century Gothic" w:hAnsi="Century Gothic" w:cs="Lucida Grande"/>
          <w:color w:val="099146"/>
          <w:szCs w:val="24"/>
        </w:rPr>
        <w:t>ę</w:t>
      </w:r>
      <w:r w:rsidRPr="00BF7C57">
        <w:rPr>
          <w:rFonts w:ascii="Century Gothic" w:hAnsi="Century Gothic"/>
          <w:color w:val="099146"/>
          <w:szCs w:val="24"/>
        </w:rPr>
        <w:t xml:space="preserve"> z</w:t>
      </w:r>
      <w:r w:rsidRPr="00BF7C57">
        <w:rPr>
          <w:rFonts w:ascii="Century Gothic" w:hAnsi="Century Gothic" w:cs="Lucida Grande"/>
          <w:color w:val="099146"/>
          <w:szCs w:val="24"/>
        </w:rPr>
        <w:t>ł</w:t>
      </w:r>
      <w:r w:rsidRPr="00BF7C57">
        <w:rPr>
          <w:rFonts w:ascii="Century Gothic" w:hAnsi="Century Gothic"/>
          <w:color w:val="099146"/>
          <w:szCs w:val="24"/>
        </w:rPr>
        <w:t>o</w:t>
      </w:r>
      <w:r w:rsidRPr="00BF7C57">
        <w:rPr>
          <w:rFonts w:ascii="Century Gothic" w:hAnsi="Century Gothic" w:cs="Lucida Grande"/>
          <w:color w:val="099146"/>
          <w:szCs w:val="24"/>
        </w:rPr>
        <w:t>ż</w:t>
      </w:r>
      <w:r w:rsidRPr="00BF7C57">
        <w:rPr>
          <w:rFonts w:ascii="Century Gothic" w:hAnsi="Century Gothic"/>
          <w:color w:val="099146"/>
          <w:szCs w:val="24"/>
        </w:rPr>
        <w:t>onych procesów transakcyjnych, przez ca</w:t>
      </w:r>
      <w:r w:rsidRPr="00BF7C57">
        <w:rPr>
          <w:rFonts w:ascii="Century Gothic" w:hAnsi="Century Gothic" w:cs="Lucida Grande"/>
          <w:color w:val="099146"/>
          <w:szCs w:val="24"/>
        </w:rPr>
        <w:t>ł</w:t>
      </w:r>
      <w:r w:rsidRPr="00BF7C57">
        <w:rPr>
          <w:rFonts w:ascii="Century Gothic" w:hAnsi="Century Gothic"/>
          <w:color w:val="099146"/>
          <w:szCs w:val="24"/>
        </w:rPr>
        <w:t>y rok wspólnie z firm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doradcz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</w:t>
      </w:r>
      <w:proofErr w:type="spellStart"/>
      <w:r w:rsidRPr="00BF7C57">
        <w:rPr>
          <w:rFonts w:ascii="Century Gothic" w:hAnsi="Century Gothic"/>
          <w:color w:val="099146"/>
          <w:szCs w:val="24"/>
        </w:rPr>
        <w:t>Navigator</w:t>
      </w:r>
      <w:proofErr w:type="spellEnd"/>
      <w:r w:rsidRPr="00BF7C57">
        <w:rPr>
          <w:rFonts w:ascii="Century Gothic" w:hAnsi="Century Gothic"/>
          <w:color w:val="099146"/>
          <w:szCs w:val="24"/>
        </w:rPr>
        <w:t xml:space="preserve"> Capital obserwuj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rynek M&amp;A w Polsce, Europie i na </w:t>
      </w:r>
      <w:r w:rsidRPr="00BF7C57">
        <w:rPr>
          <w:rFonts w:ascii="Century Gothic" w:hAnsi="Century Gothic" w:cs="Lucida Grande"/>
          <w:color w:val="099146"/>
          <w:szCs w:val="24"/>
        </w:rPr>
        <w:t>ś</w:t>
      </w:r>
      <w:r w:rsidRPr="00BF7C57">
        <w:rPr>
          <w:rFonts w:ascii="Century Gothic" w:hAnsi="Century Gothic"/>
          <w:color w:val="099146"/>
          <w:szCs w:val="24"/>
        </w:rPr>
        <w:t>wiecie. Wnioski ze zgromadzonych danych dotycz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ce polskiej sceny transakcyjnej publikuj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w ramach </w:t>
      </w:r>
      <w:r w:rsidRPr="00BF7C57">
        <w:rPr>
          <w:rFonts w:ascii="Century Gothic" w:hAnsi="Century Gothic"/>
          <w:b/>
          <w:color w:val="099146"/>
          <w:szCs w:val="24"/>
        </w:rPr>
        <w:t>raportów M&amp;A Index Poland.</w:t>
      </w:r>
      <w:r w:rsidRPr="00BF7C57">
        <w:rPr>
          <w:rFonts w:ascii="Century Gothic" w:hAnsi="Century Gothic"/>
          <w:color w:val="099146"/>
          <w:szCs w:val="24"/>
        </w:rPr>
        <w:t xml:space="preserve"> </w:t>
      </w:r>
    </w:p>
    <w:p w14:paraId="70E977BA" w14:textId="77777777" w:rsidR="004B627C" w:rsidRPr="00BF7C57" w:rsidRDefault="004B627C" w:rsidP="004B627C">
      <w:pPr>
        <w:jc w:val="both"/>
        <w:rPr>
          <w:rFonts w:ascii="Century Gothic" w:hAnsi="Century Gothic"/>
          <w:color w:val="099146"/>
          <w:sz w:val="20"/>
          <w:szCs w:val="24"/>
        </w:rPr>
      </w:pPr>
    </w:p>
    <w:p w14:paraId="47A31AFF" w14:textId="7AC0F4EA" w:rsidR="004B627C" w:rsidRPr="00BF7C57" w:rsidRDefault="004B627C" w:rsidP="004B627C">
      <w:pPr>
        <w:spacing w:after="0" w:line="360" w:lineRule="auto"/>
        <w:jc w:val="both"/>
        <w:rPr>
          <w:rFonts w:ascii="Century Gothic" w:eastAsiaTheme="minorHAnsi" w:hAnsi="Century Gothic" w:cs="Lucida Grande"/>
          <w:sz w:val="20"/>
          <w:szCs w:val="24"/>
        </w:rPr>
      </w:pP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Komentarz </w:t>
      </w:r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Marty Kotwis, </w:t>
      </w:r>
      <w:proofErr w:type="spellStart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>Key</w:t>
      </w:r>
      <w:proofErr w:type="spellEnd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 </w:t>
      </w:r>
      <w:proofErr w:type="spellStart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>Account</w:t>
      </w:r>
      <w:proofErr w:type="spellEnd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 </w:t>
      </w:r>
      <w:proofErr w:type="spellStart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>Director</w:t>
      </w:r>
      <w:proofErr w:type="spellEnd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 z FORDATA</w:t>
      </w: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, podsumowujący transakcje fuzji i przejęć w </w:t>
      </w:r>
      <w:r w:rsidR="00777DF8" w:rsidRPr="00BF7C57">
        <w:rPr>
          <w:rFonts w:ascii="Century Gothic" w:eastAsiaTheme="minorHAnsi" w:hAnsi="Century Gothic" w:cs="Lucida Grande"/>
          <w:sz w:val="20"/>
          <w:szCs w:val="24"/>
        </w:rPr>
        <w:t xml:space="preserve">pierwszym </w:t>
      </w:r>
      <w:r w:rsidRPr="00BF7C57">
        <w:rPr>
          <w:rFonts w:ascii="Century Gothic" w:eastAsiaTheme="minorHAnsi" w:hAnsi="Century Gothic" w:cs="Lucida Grande"/>
          <w:sz w:val="20"/>
          <w:szCs w:val="24"/>
        </w:rPr>
        <w:t>kwartale 201</w:t>
      </w:r>
      <w:r w:rsidR="00777DF8" w:rsidRPr="00BF7C57">
        <w:rPr>
          <w:rFonts w:ascii="Century Gothic" w:eastAsiaTheme="minorHAnsi" w:hAnsi="Century Gothic" w:cs="Lucida Grande"/>
          <w:sz w:val="20"/>
          <w:szCs w:val="24"/>
        </w:rPr>
        <w:t>6</w:t>
      </w: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 roku.</w:t>
      </w:r>
    </w:p>
    <w:p w14:paraId="574F8F5D" w14:textId="77777777" w:rsidR="004B627C" w:rsidRPr="00BF7C57" w:rsidRDefault="004B627C" w:rsidP="004B627C">
      <w:pPr>
        <w:spacing w:after="0" w:line="360" w:lineRule="auto"/>
        <w:jc w:val="both"/>
        <w:rPr>
          <w:rFonts w:ascii="Century Gothic" w:eastAsiaTheme="minorHAnsi" w:hAnsi="Century Gothic" w:cs="Lucida Grande"/>
          <w:sz w:val="24"/>
          <w:szCs w:val="24"/>
        </w:rPr>
      </w:pPr>
    </w:p>
    <w:p w14:paraId="223BBDC0" w14:textId="77777777" w:rsidR="00777DF8" w:rsidRPr="00BF7C57" w:rsidRDefault="00777DF8" w:rsidP="00A614F4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  <w:r w:rsidRPr="00BF7C57"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 xml:space="preserve">Leniwe początki rynku M&amp;A w pierwszym kwartale 2016 r. </w:t>
      </w:r>
    </w:p>
    <w:p w14:paraId="68EB35DB" w14:textId="5780B4C3" w:rsidR="00A614F4" w:rsidRPr="00BF7C57" w:rsidRDefault="00A614F4" w:rsidP="00A614F4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  <w:r w:rsidRPr="00BF7C57"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>Czy rok 2016 będzie równie rekordowy</w:t>
      </w:r>
      <w:r w:rsidR="00777DF8" w:rsidRPr="00BF7C57"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 xml:space="preserve"> jak ubiegły?</w:t>
      </w:r>
    </w:p>
    <w:p w14:paraId="49723571" w14:textId="6AF1BA9A" w:rsidR="00FE11DB" w:rsidRPr="00FE11DB" w:rsidRDefault="00FE11DB" w:rsidP="00FE11DB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bookmarkStart w:id="0" w:name="_GoBack"/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Rok 2015 okazał się dla polskiego rynku fuzji i przejęć bardzo pracowity, dzięki czemu nasz kraj pozytywnie wyróżnił się na mapie Europy Centralnej i Wschodniej. Po spektakularnych wzrostach w ostatním kwartale 2015, kiedy odnotowano rekordową liczbę, b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o aż 77 zamkniętych transakcji,</w:t>
      </w: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</w:t>
      </w:r>
      <w:r w:rsidRPr="00FE11DB">
        <w:rPr>
          <w:rFonts w:ascii="Century Gothic" w:eastAsia="Times New Roman" w:hAnsi="Century Gothic"/>
          <w:b/>
          <w:color w:val="24323C"/>
          <w:sz w:val="18"/>
          <w:szCs w:val="18"/>
          <w:lang w:val="cs-CZ" w:eastAsia="pl-PL"/>
        </w:rPr>
        <w:t>pierwszy kwartał 2016 roku przyniósł tylko 46 transakcji</w:t>
      </w: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. Jest to także spadek o 8% w porównaniu do 1Q 2015 kiedy zanotowano 50 transakcji. Dla porównania, Dealogic szacuje, że globalny rynek M&amp;A spadł o 25% r/r.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,</w:t>
      </w: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a rynek EMEA o 19% .</w:t>
      </w:r>
    </w:p>
    <w:p w14:paraId="0FF18A4F" w14:textId="0BF6F0FB" w:rsidR="00FE11DB" w:rsidRDefault="00FE11DB" w:rsidP="00FE11DB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 w:rsidRPr="00FE11DB">
        <w:rPr>
          <w:rFonts w:ascii="Century Gothic" w:eastAsia="Times New Roman" w:hAnsi="Century Gothic"/>
          <w:b/>
          <w:color w:val="24323C"/>
          <w:sz w:val="18"/>
          <w:szCs w:val="18"/>
          <w:lang w:val="cs-CZ" w:eastAsia="pl-PL"/>
        </w:rPr>
        <w:t>Wciąż w zestawieniu transakcji dominują te z wartością poniżej 100 mln PLN (12 transakcji)</w:t>
      </w: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, chociaż jest i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ch aż o 45% mniej niż w 4Q 2015. </w:t>
      </w: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Wśród transakcji z ujawnioną ceną, zaledwie 3 przekroczyły wartość 100 mln EUR, co jest niskim wynikiem, w stosunku do wcześniejszych kwartałów. Największą popularnością wśród inwestorów cieszyły spółki z br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anży IT/Media/Telekomunikacja. </w:t>
      </w:r>
    </w:p>
    <w:p w14:paraId="330548F6" w14:textId="681FE834" w:rsidR="00FE11DB" w:rsidRDefault="00FE11DB" w:rsidP="00FE11DB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Największą kwotowo transakcją na polskiej scenie M&amp;A w 1Q 2016 r. była n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iewątpliwie </w:t>
      </w:r>
      <w:r w:rsidRPr="00FE11DB">
        <w:rPr>
          <w:rFonts w:ascii="Century Gothic" w:eastAsia="Times New Roman" w:hAnsi="Century Gothic"/>
          <w:b/>
          <w:color w:val="24323C"/>
          <w:sz w:val="18"/>
          <w:szCs w:val="18"/>
          <w:lang w:val="cs-CZ" w:eastAsia="pl-PL"/>
        </w:rPr>
        <w:t>sprzedaż udziałów w Grupie Smyk przez Empik Media &amp; Fashion na rzecz funduszu Bridgepoint</w:t>
      </w: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. Wartość transakcji wyniosła 1,06 mld PLN. W regionie CEE największą transakcją był zakup szwajcarskiego koncernu Syngenta za 43 mld USD przez The China National Chemical Equi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pment Corporation (ChemChina).</w:t>
      </w:r>
    </w:p>
    <w:p w14:paraId="7FF8D3F6" w14:textId="2256001C" w:rsidR="00FE11DB" w:rsidRDefault="00FE11DB" w:rsidP="00FE11DB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lastRenderedPageBreak/>
        <w:t xml:space="preserve">Obserwujemy coraz większe </w:t>
      </w:r>
      <w:r w:rsidRPr="00FE11DB">
        <w:rPr>
          <w:rFonts w:ascii="Century Gothic" w:eastAsia="Times New Roman" w:hAnsi="Century Gothic"/>
          <w:b/>
          <w:color w:val="24323C"/>
          <w:sz w:val="18"/>
          <w:szCs w:val="18"/>
          <w:lang w:val="cs-CZ" w:eastAsia="pl-PL"/>
        </w:rPr>
        <w:t>zaangażowanie funduszy typu private equity oraz inwestorów strategicznych szczególnie na rynku nieruchomości komercyjnych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.</w:t>
      </w: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Z dostępnych nam danych wynika, że w 1Q 2016 r. </w:t>
      </w:r>
      <w:r w:rsidRPr="00FE11DB">
        <w:rPr>
          <w:rFonts w:ascii="Century Gothic" w:eastAsia="Times New Roman" w:hAnsi="Century Gothic"/>
          <w:b/>
          <w:color w:val="24323C"/>
          <w:sz w:val="18"/>
          <w:szCs w:val="18"/>
          <w:lang w:val="cs-CZ" w:eastAsia="pl-PL"/>
        </w:rPr>
        <w:t>jako strona kupująca dominują spółki z branży usługi finansowe</w:t>
      </w: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(17% wszystkich transakcji), natomiast </w:t>
      </w:r>
      <w:r w:rsidRPr="00FE11DB">
        <w:rPr>
          <w:rFonts w:ascii="Century Gothic" w:eastAsia="Times New Roman" w:hAnsi="Century Gothic"/>
          <w:b/>
          <w:color w:val="24323C"/>
          <w:sz w:val="18"/>
          <w:szCs w:val="18"/>
          <w:lang w:val="cs-CZ" w:eastAsia="pl-PL"/>
        </w:rPr>
        <w:t>po stronie sprzedającej są to fundusze private equity i venture capital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(35% transakcji). </w:t>
      </w:r>
    </w:p>
    <w:p w14:paraId="4BDBE044" w14:textId="298C7029" w:rsidR="00FE11DB" w:rsidRPr="00FE11DB" w:rsidRDefault="00FE11DB" w:rsidP="00FE11DB">
      <w:pPr>
        <w:spacing w:before="100" w:beforeAutospacing="1" w:after="0"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W 2015 roku zaobserwowaliśmy utrzymujący się trend wykorzystania systemu Virtual Data Room (VDR) podczas procesów transakcyjnych. Z naszych obserwacji wynika</w:t>
      </w: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,</w:t>
      </w: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że </w:t>
      </w:r>
      <w:r w:rsidRPr="00FE11DB">
        <w:rPr>
          <w:rFonts w:ascii="Century Gothic" w:eastAsia="Times New Roman" w:hAnsi="Century Gothic"/>
          <w:b/>
          <w:color w:val="24323C"/>
          <w:sz w:val="18"/>
          <w:szCs w:val="18"/>
          <w:lang w:val="cs-CZ" w:eastAsia="pl-PL"/>
        </w:rPr>
        <w:t>użycie systemu VDR stało się synonimem profesjonalnego podejścia do realizowanych projektów</w:t>
      </w:r>
      <w:r w:rsidRPr="00FE11D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. Ten trend będzie się utrzymywał w 2016 r. </w:t>
      </w:r>
    </w:p>
    <w:bookmarkEnd w:id="0"/>
    <w:p w14:paraId="08AB6D11" w14:textId="77777777" w:rsidR="004B627C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0AC19A57" w14:textId="77777777" w:rsidR="00FE11DB" w:rsidRDefault="00FE11DB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404AB0F4" w14:textId="77777777" w:rsidR="00FE11DB" w:rsidRDefault="00FE11DB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0C736712" w14:textId="77777777" w:rsidR="00FE11DB" w:rsidRDefault="00FE11DB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4245DCA1" w14:textId="77777777" w:rsidR="00FE11DB" w:rsidRDefault="00FE11DB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0D2DE415" w14:textId="77777777" w:rsidR="00FE11DB" w:rsidRPr="00BF7C57" w:rsidRDefault="00FE11DB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3383E3F7" w14:textId="77777777" w:rsidR="004B627C" w:rsidRPr="00BF7C57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BF7C57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FORDATA</w:t>
      </w: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jest pionierem na polskim rynku kapitałowym. W oparciu o autorskie systemy informatyczne, bazujące na technologii Virtual Data Room usprawniamy zarządzanie dokumentami i komunikacją podczas złożonych procesów transakcyjnych. Wspieramy największe transakcje M&amp;A, IPO, inwestycje Private Equity, restrukturyzacje, projekty związane z pozyskiwaniem ﬁnansowania oraz prywatyzacje w Polsce oraz w innych krajach Europy Środkowej i Wschodniej. Nasze systemy podniosły bezpieczeństwo i efektywność kilkuset transakcji różnego typu, o łącznej wartości ponad 32 mld PLN. Z usług FORDATA korzystają liderzy branż w Polsce i za granicą: fundusz Private Equity Enterprise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Investors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Enea SA, Home.pl, Grupa LOTOS, PZU SA, Grant Thornton, NFI Empik, ZELMER, Bank DNB, BOŚ Bank, Polimex Mostostal, Budimex, DM PKO Banku Polskiego, Deloitte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EY, KPMG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, JSW, HAITONG oraz wiele innych.</w:t>
      </w:r>
    </w:p>
    <w:p w14:paraId="65CD5CCF" w14:textId="77777777" w:rsidR="004B627C" w:rsidRPr="00BF7C57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126E687D" w14:textId="77777777" w:rsidR="004B627C" w:rsidRPr="00BF7C57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30AB3D7B" w14:textId="77777777" w:rsidR="004B627C" w:rsidRPr="00BF7C57" w:rsidRDefault="004B627C" w:rsidP="004B627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  <w:r w:rsidRPr="00BF7C57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Kontakt dla mediów:</w:t>
      </w:r>
    </w:p>
    <w:p w14:paraId="346268C2" w14:textId="77777777" w:rsidR="004B627C" w:rsidRPr="00BF7C57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Aleksandra Prusator, e-mail: aleksandra.prusator@fordata.pl,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tel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: 506 044 056</w:t>
      </w:r>
    </w:p>
    <w:p w14:paraId="3E59A27C" w14:textId="77777777" w:rsidR="004B627C" w:rsidRPr="00BF7C57" w:rsidRDefault="004B627C" w:rsidP="004B627C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</w:pP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 xml:space="preserve">Beata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Milewicz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 xml:space="preserve">, e-mail: beata.milewicz@letson.pl,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tel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: 508 051 138</w:t>
      </w:r>
    </w:p>
    <w:p w14:paraId="0FBB37E1" w14:textId="77777777" w:rsidR="00D24FB5" w:rsidRPr="00BF7C57" w:rsidRDefault="00D24FB5" w:rsidP="00D24FB5">
      <w:pPr>
        <w:spacing w:after="0"/>
        <w:jc w:val="both"/>
        <w:rPr>
          <w:rFonts w:ascii="Century Gothic" w:eastAsia="Arial Unicode MS" w:hAnsi="Century Gothic" w:cs="Arial Unicode MS"/>
          <w:sz w:val="18"/>
          <w:szCs w:val="18"/>
          <w:lang w:val="en-US"/>
        </w:rPr>
      </w:pPr>
    </w:p>
    <w:sectPr w:rsidR="00D24FB5" w:rsidRPr="00BF7C57" w:rsidSect="00B420E4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31BC" w14:textId="77777777" w:rsidR="00596CC8" w:rsidRDefault="00596CC8" w:rsidP="00F55936">
      <w:pPr>
        <w:spacing w:after="0" w:line="240" w:lineRule="auto"/>
      </w:pPr>
      <w:r>
        <w:separator/>
      </w:r>
    </w:p>
  </w:endnote>
  <w:endnote w:type="continuationSeparator" w:id="0">
    <w:p w14:paraId="418F36ED" w14:textId="77777777" w:rsidR="00596CC8" w:rsidRDefault="00596CC8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57154063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053921950"/>
          <w:docPartObj>
            <w:docPartGallery w:val="Page Numbers (Top of Page)"/>
            <w:docPartUnique/>
          </w:docPartObj>
        </w:sdtPr>
        <w:sdtEndPr/>
        <w:sdtContent>
          <w:p w14:paraId="172782DB" w14:textId="77777777" w:rsidR="00D935DB" w:rsidRPr="00051B2C" w:rsidRDefault="00D935DB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51B2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051B2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0610EE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D3BC7C" w14:textId="77777777" w:rsidR="00D935DB" w:rsidRDefault="00D935DB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2FED" w14:textId="77777777" w:rsidR="00596CC8" w:rsidRDefault="00596CC8" w:rsidP="00F55936">
      <w:pPr>
        <w:spacing w:after="0" w:line="240" w:lineRule="auto"/>
      </w:pPr>
      <w:r>
        <w:separator/>
      </w:r>
    </w:p>
  </w:footnote>
  <w:footnote w:type="continuationSeparator" w:id="0">
    <w:p w14:paraId="5DD3157F" w14:textId="77777777" w:rsidR="00596CC8" w:rsidRDefault="00596CC8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1FEA3" w14:textId="77777777" w:rsidR="00D935DB" w:rsidRDefault="00596CC8">
    <w:pPr>
      <w:pStyle w:val="Nagwek"/>
    </w:pPr>
    <w:r>
      <w:rPr>
        <w:noProof/>
        <w:lang w:eastAsia="pl-PL"/>
      </w:rPr>
      <w:pict w14:anchorId="1CD75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1" o:spid="_x0000_s2053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4E2D" w14:textId="77777777" w:rsidR="00D935DB" w:rsidRDefault="00596CC8" w:rsidP="00067C11">
    <w:pPr>
      <w:pStyle w:val="Nagwek"/>
      <w:tabs>
        <w:tab w:val="left" w:pos="1620"/>
      </w:tabs>
      <w:rPr>
        <w:sz w:val="24"/>
      </w:rPr>
    </w:pPr>
    <w:r>
      <w:rPr>
        <w:noProof/>
        <w:sz w:val="24"/>
        <w:lang w:eastAsia="pl-PL"/>
      </w:rPr>
      <w:pict w14:anchorId="0C534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2" o:spid="_x0000_s2054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  <w:r w:rsidR="00D935DB">
      <w:rPr>
        <w:sz w:val="24"/>
      </w:rPr>
      <w:tab/>
    </w:r>
    <w:r w:rsidR="00D935DB">
      <w:rPr>
        <w:sz w:val="24"/>
      </w:rPr>
      <w:tab/>
    </w:r>
    <w:r w:rsidR="00D935DB">
      <w:rPr>
        <w:sz w:val="24"/>
      </w:rPr>
      <w:tab/>
    </w:r>
  </w:p>
  <w:p w14:paraId="7602F6BA" w14:textId="77777777" w:rsidR="00D935DB" w:rsidRDefault="00D935DB" w:rsidP="0049735E">
    <w:pPr>
      <w:pStyle w:val="Nagwek"/>
      <w:jc w:val="right"/>
      <w:rPr>
        <w:sz w:val="24"/>
      </w:rPr>
    </w:pPr>
  </w:p>
  <w:p w14:paraId="6AC02A5D" w14:textId="77777777" w:rsidR="00D935DB" w:rsidRDefault="00D935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19A6" w14:textId="77777777" w:rsidR="00D935DB" w:rsidRDefault="00596CC8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 w14:anchorId="72378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0" o:spid="_x0000_s2052" type="#_x0000_t75" style="position:absolute;left:0;text-align:left;margin-left:0;margin-top:0;width:604.5pt;height:855.05pt;z-index:-251658240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43E7E"/>
    <w:multiLevelType w:val="hybridMultilevel"/>
    <w:tmpl w:val="A4549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36398"/>
    <w:multiLevelType w:val="hybridMultilevel"/>
    <w:tmpl w:val="D60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A6B20"/>
    <w:multiLevelType w:val="hybridMultilevel"/>
    <w:tmpl w:val="0E4006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E"/>
    <w:rsid w:val="000001A2"/>
    <w:rsid w:val="00000E06"/>
    <w:rsid w:val="00000F86"/>
    <w:rsid w:val="00001039"/>
    <w:rsid w:val="00001108"/>
    <w:rsid w:val="00002568"/>
    <w:rsid w:val="000028D5"/>
    <w:rsid w:val="00002B21"/>
    <w:rsid w:val="00003AE9"/>
    <w:rsid w:val="00003D66"/>
    <w:rsid w:val="00003EFB"/>
    <w:rsid w:val="00004AAB"/>
    <w:rsid w:val="00005B08"/>
    <w:rsid w:val="00007FDC"/>
    <w:rsid w:val="000103B3"/>
    <w:rsid w:val="00010D35"/>
    <w:rsid w:val="00010FF4"/>
    <w:rsid w:val="00011BB9"/>
    <w:rsid w:val="000127AA"/>
    <w:rsid w:val="000136C9"/>
    <w:rsid w:val="00013C09"/>
    <w:rsid w:val="000144C1"/>
    <w:rsid w:val="00014D06"/>
    <w:rsid w:val="0001724E"/>
    <w:rsid w:val="00017BD9"/>
    <w:rsid w:val="00017C9E"/>
    <w:rsid w:val="000201FF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B2C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0EE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587"/>
    <w:rsid w:val="000645B2"/>
    <w:rsid w:val="00065390"/>
    <w:rsid w:val="00065BE5"/>
    <w:rsid w:val="000660C2"/>
    <w:rsid w:val="0006764F"/>
    <w:rsid w:val="00067C11"/>
    <w:rsid w:val="00067D26"/>
    <w:rsid w:val="00067F27"/>
    <w:rsid w:val="00067F4E"/>
    <w:rsid w:val="00070532"/>
    <w:rsid w:val="00071966"/>
    <w:rsid w:val="00072809"/>
    <w:rsid w:val="0007294A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B96"/>
    <w:rsid w:val="000A3514"/>
    <w:rsid w:val="000A35A0"/>
    <w:rsid w:val="000A36A9"/>
    <w:rsid w:val="000A391D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B99"/>
    <w:rsid w:val="000F2FA5"/>
    <w:rsid w:val="000F33EB"/>
    <w:rsid w:val="000F373E"/>
    <w:rsid w:val="000F376D"/>
    <w:rsid w:val="000F38A7"/>
    <w:rsid w:val="000F44F7"/>
    <w:rsid w:val="000F51E4"/>
    <w:rsid w:val="000F63B7"/>
    <w:rsid w:val="000F65F1"/>
    <w:rsid w:val="000F6DE3"/>
    <w:rsid w:val="000F762B"/>
    <w:rsid w:val="000F7D49"/>
    <w:rsid w:val="00100227"/>
    <w:rsid w:val="001045B1"/>
    <w:rsid w:val="00104E4E"/>
    <w:rsid w:val="00105C29"/>
    <w:rsid w:val="00105D33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3BF"/>
    <w:rsid w:val="0011340A"/>
    <w:rsid w:val="00113D1E"/>
    <w:rsid w:val="0011448E"/>
    <w:rsid w:val="001144B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27D78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40B48"/>
    <w:rsid w:val="00141754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44C"/>
    <w:rsid w:val="00173A45"/>
    <w:rsid w:val="00173ACB"/>
    <w:rsid w:val="00173B93"/>
    <w:rsid w:val="00174414"/>
    <w:rsid w:val="00175859"/>
    <w:rsid w:val="00175AD7"/>
    <w:rsid w:val="00175B9B"/>
    <w:rsid w:val="00176196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FDB"/>
    <w:rsid w:val="001A219F"/>
    <w:rsid w:val="001A2531"/>
    <w:rsid w:val="001A3786"/>
    <w:rsid w:val="001A4133"/>
    <w:rsid w:val="001A4181"/>
    <w:rsid w:val="001A41BC"/>
    <w:rsid w:val="001A42ED"/>
    <w:rsid w:val="001A5D2E"/>
    <w:rsid w:val="001A66D8"/>
    <w:rsid w:val="001A6A58"/>
    <w:rsid w:val="001A78B7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3680"/>
    <w:rsid w:val="001C3B18"/>
    <w:rsid w:val="001C3EC9"/>
    <w:rsid w:val="001C4187"/>
    <w:rsid w:val="001C4860"/>
    <w:rsid w:val="001C4D80"/>
    <w:rsid w:val="001C4FCF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98B"/>
    <w:rsid w:val="001D4C7D"/>
    <w:rsid w:val="001D4D40"/>
    <w:rsid w:val="001D5276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CB6"/>
    <w:rsid w:val="00217E41"/>
    <w:rsid w:val="00217E8E"/>
    <w:rsid w:val="00220AB5"/>
    <w:rsid w:val="00220D71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51D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6BDA"/>
    <w:rsid w:val="0025760C"/>
    <w:rsid w:val="002576E7"/>
    <w:rsid w:val="00257DFF"/>
    <w:rsid w:val="002603E0"/>
    <w:rsid w:val="00260456"/>
    <w:rsid w:val="00260616"/>
    <w:rsid w:val="002617EF"/>
    <w:rsid w:val="00261D5E"/>
    <w:rsid w:val="00262B7B"/>
    <w:rsid w:val="00262EDD"/>
    <w:rsid w:val="00262F12"/>
    <w:rsid w:val="002637FE"/>
    <w:rsid w:val="00263E81"/>
    <w:rsid w:val="00264881"/>
    <w:rsid w:val="00264CC0"/>
    <w:rsid w:val="00265010"/>
    <w:rsid w:val="002665FB"/>
    <w:rsid w:val="0026725D"/>
    <w:rsid w:val="00267356"/>
    <w:rsid w:val="00267835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1691"/>
    <w:rsid w:val="002A1886"/>
    <w:rsid w:val="002A1C6C"/>
    <w:rsid w:val="002A4874"/>
    <w:rsid w:val="002A54A9"/>
    <w:rsid w:val="002A598A"/>
    <w:rsid w:val="002A59F1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36D1"/>
    <w:rsid w:val="003038A5"/>
    <w:rsid w:val="00303C01"/>
    <w:rsid w:val="003040ED"/>
    <w:rsid w:val="00304D24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B5A"/>
    <w:rsid w:val="00312F3F"/>
    <w:rsid w:val="00313960"/>
    <w:rsid w:val="00313CD9"/>
    <w:rsid w:val="00313FFC"/>
    <w:rsid w:val="003142A0"/>
    <w:rsid w:val="00314CFB"/>
    <w:rsid w:val="00315211"/>
    <w:rsid w:val="00315C9F"/>
    <w:rsid w:val="00315FB6"/>
    <w:rsid w:val="00317203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94C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678D"/>
    <w:rsid w:val="0034690D"/>
    <w:rsid w:val="00347760"/>
    <w:rsid w:val="0035005F"/>
    <w:rsid w:val="0035036D"/>
    <w:rsid w:val="00350530"/>
    <w:rsid w:val="0035058C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31CA"/>
    <w:rsid w:val="003731E7"/>
    <w:rsid w:val="003731EE"/>
    <w:rsid w:val="00373237"/>
    <w:rsid w:val="00374E9D"/>
    <w:rsid w:val="0037512C"/>
    <w:rsid w:val="003753C4"/>
    <w:rsid w:val="0037540B"/>
    <w:rsid w:val="0037570E"/>
    <w:rsid w:val="003759B6"/>
    <w:rsid w:val="00375A4B"/>
    <w:rsid w:val="00375F9E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E1B"/>
    <w:rsid w:val="003B377F"/>
    <w:rsid w:val="003B4952"/>
    <w:rsid w:val="003B4C80"/>
    <w:rsid w:val="003B694B"/>
    <w:rsid w:val="003B72ED"/>
    <w:rsid w:val="003B75A8"/>
    <w:rsid w:val="003B7B44"/>
    <w:rsid w:val="003B7C79"/>
    <w:rsid w:val="003C0041"/>
    <w:rsid w:val="003C06AF"/>
    <w:rsid w:val="003C08E7"/>
    <w:rsid w:val="003C1D76"/>
    <w:rsid w:val="003C1DD0"/>
    <w:rsid w:val="003C2781"/>
    <w:rsid w:val="003C2981"/>
    <w:rsid w:val="003C3805"/>
    <w:rsid w:val="003C493B"/>
    <w:rsid w:val="003C4DD8"/>
    <w:rsid w:val="003C4F58"/>
    <w:rsid w:val="003C602E"/>
    <w:rsid w:val="003C6873"/>
    <w:rsid w:val="003C6ABD"/>
    <w:rsid w:val="003D06F9"/>
    <w:rsid w:val="003D1607"/>
    <w:rsid w:val="003D2F31"/>
    <w:rsid w:val="003D31E5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A4B"/>
    <w:rsid w:val="00401532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5934"/>
    <w:rsid w:val="0042596C"/>
    <w:rsid w:val="00427746"/>
    <w:rsid w:val="00427DA9"/>
    <w:rsid w:val="00427E93"/>
    <w:rsid w:val="00427EC3"/>
    <w:rsid w:val="0043005A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62AC"/>
    <w:rsid w:val="0044635B"/>
    <w:rsid w:val="00446794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580D"/>
    <w:rsid w:val="00465D5B"/>
    <w:rsid w:val="00465E9F"/>
    <w:rsid w:val="0046602C"/>
    <w:rsid w:val="00467002"/>
    <w:rsid w:val="00470929"/>
    <w:rsid w:val="00470999"/>
    <w:rsid w:val="0047350E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871B1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4D16"/>
    <w:rsid w:val="004B627C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253A"/>
    <w:rsid w:val="004C3EE9"/>
    <w:rsid w:val="004C431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101D7"/>
    <w:rsid w:val="005102DA"/>
    <w:rsid w:val="00510D93"/>
    <w:rsid w:val="00511111"/>
    <w:rsid w:val="005112E1"/>
    <w:rsid w:val="0051139F"/>
    <w:rsid w:val="0051170B"/>
    <w:rsid w:val="00511EB0"/>
    <w:rsid w:val="0051268D"/>
    <w:rsid w:val="00512A23"/>
    <w:rsid w:val="00512E66"/>
    <w:rsid w:val="00512EA8"/>
    <w:rsid w:val="00514016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312F"/>
    <w:rsid w:val="005231EC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DE2"/>
    <w:rsid w:val="0053026E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50748"/>
    <w:rsid w:val="0055094A"/>
    <w:rsid w:val="00551D20"/>
    <w:rsid w:val="00552A0A"/>
    <w:rsid w:val="00552A65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E38"/>
    <w:rsid w:val="0056596F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A75"/>
    <w:rsid w:val="00593ACA"/>
    <w:rsid w:val="00593E10"/>
    <w:rsid w:val="00594C9C"/>
    <w:rsid w:val="0059519D"/>
    <w:rsid w:val="005953F3"/>
    <w:rsid w:val="005954F5"/>
    <w:rsid w:val="00596CC8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A6B"/>
    <w:rsid w:val="005C1E15"/>
    <w:rsid w:val="005C2D61"/>
    <w:rsid w:val="005C5750"/>
    <w:rsid w:val="005C5BA2"/>
    <w:rsid w:val="005C5C81"/>
    <w:rsid w:val="005C6D7C"/>
    <w:rsid w:val="005C7B12"/>
    <w:rsid w:val="005D0389"/>
    <w:rsid w:val="005D0998"/>
    <w:rsid w:val="005D12D9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56C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B46"/>
    <w:rsid w:val="00613BED"/>
    <w:rsid w:val="00614242"/>
    <w:rsid w:val="006146FB"/>
    <w:rsid w:val="00614B24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55B5"/>
    <w:rsid w:val="00655AC6"/>
    <w:rsid w:val="0065601C"/>
    <w:rsid w:val="00656172"/>
    <w:rsid w:val="00656606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61E8"/>
    <w:rsid w:val="006765F8"/>
    <w:rsid w:val="00676999"/>
    <w:rsid w:val="006776A1"/>
    <w:rsid w:val="006801FA"/>
    <w:rsid w:val="0068179D"/>
    <w:rsid w:val="00681E3B"/>
    <w:rsid w:val="006822CF"/>
    <w:rsid w:val="00682CF5"/>
    <w:rsid w:val="0068348A"/>
    <w:rsid w:val="00683646"/>
    <w:rsid w:val="0068410D"/>
    <w:rsid w:val="00684597"/>
    <w:rsid w:val="00684A5B"/>
    <w:rsid w:val="00685445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5B8"/>
    <w:rsid w:val="006A2866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B56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3CF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3C04"/>
    <w:rsid w:val="00714B83"/>
    <w:rsid w:val="00714FE3"/>
    <w:rsid w:val="0071508E"/>
    <w:rsid w:val="00715CCD"/>
    <w:rsid w:val="00715FFC"/>
    <w:rsid w:val="00717AAF"/>
    <w:rsid w:val="00720AEE"/>
    <w:rsid w:val="00720CE5"/>
    <w:rsid w:val="007211E9"/>
    <w:rsid w:val="007215E2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B19"/>
    <w:rsid w:val="00724CDD"/>
    <w:rsid w:val="0072520A"/>
    <w:rsid w:val="00725918"/>
    <w:rsid w:val="007259B9"/>
    <w:rsid w:val="00725B78"/>
    <w:rsid w:val="00726477"/>
    <w:rsid w:val="00727079"/>
    <w:rsid w:val="007306AF"/>
    <w:rsid w:val="00731F03"/>
    <w:rsid w:val="00732443"/>
    <w:rsid w:val="007328A5"/>
    <w:rsid w:val="00732A98"/>
    <w:rsid w:val="007337EA"/>
    <w:rsid w:val="0073397A"/>
    <w:rsid w:val="00733A1E"/>
    <w:rsid w:val="00733E85"/>
    <w:rsid w:val="00735839"/>
    <w:rsid w:val="00735868"/>
    <w:rsid w:val="00735C05"/>
    <w:rsid w:val="007361D1"/>
    <w:rsid w:val="007371D4"/>
    <w:rsid w:val="007375DE"/>
    <w:rsid w:val="007378F1"/>
    <w:rsid w:val="0074032C"/>
    <w:rsid w:val="00740C4F"/>
    <w:rsid w:val="00740DCB"/>
    <w:rsid w:val="007419C8"/>
    <w:rsid w:val="00741D82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50545"/>
    <w:rsid w:val="007510CC"/>
    <w:rsid w:val="00751CB4"/>
    <w:rsid w:val="0075200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A19"/>
    <w:rsid w:val="00777B99"/>
    <w:rsid w:val="00777DF8"/>
    <w:rsid w:val="00781369"/>
    <w:rsid w:val="00781767"/>
    <w:rsid w:val="0078200B"/>
    <w:rsid w:val="00782131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C40"/>
    <w:rsid w:val="007A2965"/>
    <w:rsid w:val="007A2BFD"/>
    <w:rsid w:val="007A4368"/>
    <w:rsid w:val="007A4517"/>
    <w:rsid w:val="007A454C"/>
    <w:rsid w:val="007A4CE4"/>
    <w:rsid w:val="007A4EAC"/>
    <w:rsid w:val="007A5136"/>
    <w:rsid w:val="007A5C2C"/>
    <w:rsid w:val="007B0069"/>
    <w:rsid w:val="007B07AA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A79"/>
    <w:rsid w:val="007C135A"/>
    <w:rsid w:val="007C1526"/>
    <w:rsid w:val="007C2700"/>
    <w:rsid w:val="007C2C45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9A5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C63"/>
    <w:rsid w:val="007E6CB5"/>
    <w:rsid w:val="007E73DC"/>
    <w:rsid w:val="007E77E9"/>
    <w:rsid w:val="007E7C6B"/>
    <w:rsid w:val="007F044D"/>
    <w:rsid w:val="007F09A3"/>
    <w:rsid w:val="007F0C07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E1A"/>
    <w:rsid w:val="008047C9"/>
    <w:rsid w:val="008049A2"/>
    <w:rsid w:val="008050C3"/>
    <w:rsid w:val="008065D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3511"/>
    <w:rsid w:val="008442A1"/>
    <w:rsid w:val="008443B2"/>
    <w:rsid w:val="00844FFD"/>
    <w:rsid w:val="008452F2"/>
    <w:rsid w:val="008456BF"/>
    <w:rsid w:val="008456E3"/>
    <w:rsid w:val="00845968"/>
    <w:rsid w:val="00845A27"/>
    <w:rsid w:val="00845B10"/>
    <w:rsid w:val="00845EC8"/>
    <w:rsid w:val="00846718"/>
    <w:rsid w:val="008467D7"/>
    <w:rsid w:val="00846F95"/>
    <w:rsid w:val="0084753A"/>
    <w:rsid w:val="008476B5"/>
    <w:rsid w:val="00847768"/>
    <w:rsid w:val="00847B42"/>
    <w:rsid w:val="00850388"/>
    <w:rsid w:val="00850670"/>
    <w:rsid w:val="00850F52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D5"/>
    <w:rsid w:val="00871EBF"/>
    <w:rsid w:val="00871F8F"/>
    <w:rsid w:val="00872F77"/>
    <w:rsid w:val="00873B0B"/>
    <w:rsid w:val="00874330"/>
    <w:rsid w:val="00875510"/>
    <w:rsid w:val="0087586F"/>
    <w:rsid w:val="00876FA8"/>
    <w:rsid w:val="00877638"/>
    <w:rsid w:val="008777C2"/>
    <w:rsid w:val="008806E9"/>
    <w:rsid w:val="008820CC"/>
    <w:rsid w:val="00882F85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890"/>
    <w:rsid w:val="008A644F"/>
    <w:rsid w:val="008A6B42"/>
    <w:rsid w:val="008A7051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3839"/>
    <w:rsid w:val="008C3940"/>
    <w:rsid w:val="008C3CB8"/>
    <w:rsid w:val="008C4049"/>
    <w:rsid w:val="008C4783"/>
    <w:rsid w:val="008C4D15"/>
    <w:rsid w:val="008C5902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1EA8"/>
    <w:rsid w:val="00942EED"/>
    <w:rsid w:val="00943194"/>
    <w:rsid w:val="00943628"/>
    <w:rsid w:val="009437BB"/>
    <w:rsid w:val="00943C7F"/>
    <w:rsid w:val="0094408D"/>
    <w:rsid w:val="009442EF"/>
    <w:rsid w:val="00944C3F"/>
    <w:rsid w:val="00946085"/>
    <w:rsid w:val="00946C7F"/>
    <w:rsid w:val="00947026"/>
    <w:rsid w:val="00951C29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6D70"/>
    <w:rsid w:val="009676A2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4CE"/>
    <w:rsid w:val="00974986"/>
    <w:rsid w:val="0097560C"/>
    <w:rsid w:val="00975D2A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67B"/>
    <w:rsid w:val="00983C54"/>
    <w:rsid w:val="00983D57"/>
    <w:rsid w:val="00984023"/>
    <w:rsid w:val="009843A4"/>
    <w:rsid w:val="009846A8"/>
    <w:rsid w:val="00984CB9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B6F79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F91"/>
    <w:rsid w:val="009F767C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42A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3C70"/>
    <w:rsid w:val="00A14040"/>
    <w:rsid w:val="00A14090"/>
    <w:rsid w:val="00A16269"/>
    <w:rsid w:val="00A1634B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A9A"/>
    <w:rsid w:val="00A307F0"/>
    <w:rsid w:val="00A3087B"/>
    <w:rsid w:val="00A30A5E"/>
    <w:rsid w:val="00A31907"/>
    <w:rsid w:val="00A31DE3"/>
    <w:rsid w:val="00A32DB1"/>
    <w:rsid w:val="00A33845"/>
    <w:rsid w:val="00A33DA1"/>
    <w:rsid w:val="00A33F2E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A55"/>
    <w:rsid w:val="00A56F30"/>
    <w:rsid w:val="00A57175"/>
    <w:rsid w:val="00A57616"/>
    <w:rsid w:val="00A5764B"/>
    <w:rsid w:val="00A579B6"/>
    <w:rsid w:val="00A60647"/>
    <w:rsid w:val="00A614F4"/>
    <w:rsid w:val="00A61718"/>
    <w:rsid w:val="00A62144"/>
    <w:rsid w:val="00A62C15"/>
    <w:rsid w:val="00A63910"/>
    <w:rsid w:val="00A63A12"/>
    <w:rsid w:val="00A6435A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63BD"/>
    <w:rsid w:val="00A8761B"/>
    <w:rsid w:val="00A90033"/>
    <w:rsid w:val="00A90951"/>
    <w:rsid w:val="00A9195F"/>
    <w:rsid w:val="00A9217C"/>
    <w:rsid w:val="00A931D9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EAB"/>
    <w:rsid w:val="00AA15E0"/>
    <w:rsid w:val="00AA2BB8"/>
    <w:rsid w:val="00AA30CD"/>
    <w:rsid w:val="00AA34F0"/>
    <w:rsid w:val="00AA3C10"/>
    <w:rsid w:val="00AA4AB7"/>
    <w:rsid w:val="00AA5FBB"/>
    <w:rsid w:val="00AA6651"/>
    <w:rsid w:val="00AA7BA3"/>
    <w:rsid w:val="00AA7F18"/>
    <w:rsid w:val="00AB0615"/>
    <w:rsid w:val="00AB0C97"/>
    <w:rsid w:val="00AB183C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93F"/>
    <w:rsid w:val="00AC0E5A"/>
    <w:rsid w:val="00AC14F4"/>
    <w:rsid w:val="00AC1A8F"/>
    <w:rsid w:val="00AC2AAE"/>
    <w:rsid w:val="00AC354D"/>
    <w:rsid w:val="00AC3957"/>
    <w:rsid w:val="00AC40F8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2150"/>
    <w:rsid w:val="00AD3684"/>
    <w:rsid w:val="00AD3A04"/>
    <w:rsid w:val="00AD3FE4"/>
    <w:rsid w:val="00AD40AC"/>
    <w:rsid w:val="00AD4774"/>
    <w:rsid w:val="00AD56C4"/>
    <w:rsid w:val="00AD6163"/>
    <w:rsid w:val="00AD6885"/>
    <w:rsid w:val="00AD6EB9"/>
    <w:rsid w:val="00AD7A83"/>
    <w:rsid w:val="00AE03FA"/>
    <w:rsid w:val="00AE05A3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1795"/>
    <w:rsid w:val="00B0218E"/>
    <w:rsid w:val="00B02D2A"/>
    <w:rsid w:val="00B02FF1"/>
    <w:rsid w:val="00B03528"/>
    <w:rsid w:val="00B0396D"/>
    <w:rsid w:val="00B0428E"/>
    <w:rsid w:val="00B04A20"/>
    <w:rsid w:val="00B04CA8"/>
    <w:rsid w:val="00B051AB"/>
    <w:rsid w:val="00B0542B"/>
    <w:rsid w:val="00B05ACE"/>
    <w:rsid w:val="00B06602"/>
    <w:rsid w:val="00B0663F"/>
    <w:rsid w:val="00B06913"/>
    <w:rsid w:val="00B073D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7486"/>
    <w:rsid w:val="00B3760D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0E4"/>
    <w:rsid w:val="00B422A9"/>
    <w:rsid w:val="00B426CD"/>
    <w:rsid w:val="00B42920"/>
    <w:rsid w:val="00B4301E"/>
    <w:rsid w:val="00B44497"/>
    <w:rsid w:val="00B44E0F"/>
    <w:rsid w:val="00B44F49"/>
    <w:rsid w:val="00B450F2"/>
    <w:rsid w:val="00B45369"/>
    <w:rsid w:val="00B457E3"/>
    <w:rsid w:val="00B458A2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543"/>
    <w:rsid w:val="00BA3A3A"/>
    <w:rsid w:val="00BA3C1F"/>
    <w:rsid w:val="00BA4408"/>
    <w:rsid w:val="00BA44FF"/>
    <w:rsid w:val="00BA4CBE"/>
    <w:rsid w:val="00BA4F84"/>
    <w:rsid w:val="00BA518B"/>
    <w:rsid w:val="00BA5903"/>
    <w:rsid w:val="00BA5AAD"/>
    <w:rsid w:val="00BA62EF"/>
    <w:rsid w:val="00BA7236"/>
    <w:rsid w:val="00BA7A86"/>
    <w:rsid w:val="00BA7F09"/>
    <w:rsid w:val="00BB0377"/>
    <w:rsid w:val="00BB23EA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4035"/>
    <w:rsid w:val="00BF43C7"/>
    <w:rsid w:val="00BF52A1"/>
    <w:rsid w:val="00BF552F"/>
    <w:rsid w:val="00BF58B4"/>
    <w:rsid w:val="00BF639E"/>
    <w:rsid w:val="00BF6D0A"/>
    <w:rsid w:val="00BF6DD5"/>
    <w:rsid w:val="00BF7C57"/>
    <w:rsid w:val="00C005BA"/>
    <w:rsid w:val="00C01045"/>
    <w:rsid w:val="00C01707"/>
    <w:rsid w:val="00C017DC"/>
    <w:rsid w:val="00C02515"/>
    <w:rsid w:val="00C0275C"/>
    <w:rsid w:val="00C03757"/>
    <w:rsid w:val="00C03F6B"/>
    <w:rsid w:val="00C04CFB"/>
    <w:rsid w:val="00C059DD"/>
    <w:rsid w:val="00C0621A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F7A"/>
    <w:rsid w:val="00C1447C"/>
    <w:rsid w:val="00C155DD"/>
    <w:rsid w:val="00C15883"/>
    <w:rsid w:val="00C17335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2120"/>
    <w:rsid w:val="00C32357"/>
    <w:rsid w:val="00C324E3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898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54D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4BE2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701F"/>
    <w:rsid w:val="00C9039F"/>
    <w:rsid w:val="00C906FB"/>
    <w:rsid w:val="00C90777"/>
    <w:rsid w:val="00C908EE"/>
    <w:rsid w:val="00C91AA3"/>
    <w:rsid w:val="00C91C0D"/>
    <w:rsid w:val="00C91D80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33C9"/>
    <w:rsid w:val="00CA3523"/>
    <w:rsid w:val="00CA375F"/>
    <w:rsid w:val="00CA3DA8"/>
    <w:rsid w:val="00CA4789"/>
    <w:rsid w:val="00CA4908"/>
    <w:rsid w:val="00CA553F"/>
    <w:rsid w:val="00CA5D8E"/>
    <w:rsid w:val="00CA648F"/>
    <w:rsid w:val="00CA6E24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C0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383"/>
    <w:rsid w:val="00CE38A1"/>
    <w:rsid w:val="00CE3C47"/>
    <w:rsid w:val="00CE3E1B"/>
    <w:rsid w:val="00CE4831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4FB5"/>
    <w:rsid w:val="00D26AB1"/>
    <w:rsid w:val="00D26FB2"/>
    <w:rsid w:val="00D2713F"/>
    <w:rsid w:val="00D273E6"/>
    <w:rsid w:val="00D274E4"/>
    <w:rsid w:val="00D2759E"/>
    <w:rsid w:val="00D27AA9"/>
    <w:rsid w:val="00D3042D"/>
    <w:rsid w:val="00D3083E"/>
    <w:rsid w:val="00D30F8E"/>
    <w:rsid w:val="00D31001"/>
    <w:rsid w:val="00D316CC"/>
    <w:rsid w:val="00D3186F"/>
    <w:rsid w:val="00D334C7"/>
    <w:rsid w:val="00D34B4C"/>
    <w:rsid w:val="00D34F37"/>
    <w:rsid w:val="00D36370"/>
    <w:rsid w:val="00D377FC"/>
    <w:rsid w:val="00D37AB6"/>
    <w:rsid w:val="00D40C25"/>
    <w:rsid w:val="00D40EDA"/>
    <w:rsid w:val="00D4170C"/>
    <w:rsid w:val="00D42109"/>
    <w:rsid w:val="00D421B4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CC"/>
    <w:rsid w:val="00D55034"/>
    <w:rsid w:val="00D552A6"/>
    <w:rsid w:val="00D552D8"/>
    <w:rsid w:val="00D55483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F80"/>
    <w:rsid w:val="00D92225"/>
    <w:rsid w:val="00D92A6F"/>
    <w:rsid w:val="00D92D55"/>
    <w:rsid w:val="00D92DEB"/>
    <w:rsid w:val="00D930C7"/>
    <w:rsid w:val="00D935DB"/>
    <w:rsid w:val="00D936A3"/>
    <w:rsid w:val="00D93AFD"/>
    <w:rsid w:val="00D94170"/>
    <w:rsid w:val="00D959DA"/>
    <w:rsid w:val="00D975BE"/>
    <w:rsid w:val="00D979FB"/>
    <w:rsid w:val="00D97D73"/>
    <w:rsid w:val="00DA1367"/>
    <w:rsid w:val="00DA144F"/>
    <w:rsid w:val="00DA1663"/>
    <w:rsid w:val="00DA3353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7101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74F8"/>
    <w:rsid w:val="00DE75A4"/>
    <w:rsid w:val="00DE7A3A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C48"/>
    <w:rsid w:val="00E34FB5"/>
    <w:rsid w:val="00E351FE"/>
    <w:rsid w:val="00E35820"/>
    <w:rsid w:val="00E35BCD"/>
    <w:rsid w:val="00E3668E"/>
    <w:rsid w:val="00E367F1"/>
    <w:rsid w:val="00E36B08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34"/>
    <w:rsid w:val="00E51CBA"/>
    <w:rsid w:val="00E51FB2"/>
    <w:rsid w:val="00E5204F"/>
    <w:rsid w:val="00E52674"/>
    <w:rsid w:val="00E52C26"/>
    <w:rsid w:val="00E52EDA"/>
    <w:rsid w:val="00E53AE1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F1C"/>
    <w:rsid w:val="00E60F5F"/>
    <w:rsid w:val="00E61FA0"/>
    <w:rsid w:val="00E6208C"/>
    <w:rsid w:val="00E6293C"/>
    <w:rsid w:val="00E62B24"/>
    <w:rsid w:val="00E62D57"/>
    <w:rsid w:val="00E63AA6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70459"/>
    <w:rsid w:val="00E707EF"/>
    <w:rsid w:val="00E71799"/>
    <w:rsid w:val="00E7227A"/>
    <w:rsid w:val="00E72EC9"/>
    <w:rsid w:val="00E73D63"/>
    <w:rsid w:val="00E73EB3"/>
    <w:rsid w:val="00E74FAA"/>
    <w:rsid w:val="00E753DE"/>
    <w:rsid w:val="00E76860"/>
    <w:rsid w:val="00E76B63"/>
    <w:rsid w:val="00E76E56"/>
    <w:rsid w:val="00E76ED8"/>
    <w:rsid w:val="00E778D5"/>
    <w:rsid w:val="00E77D12"/>
    <w:rsid w:val="00E8256B"/>
    <w:rsid w:val="00E8265A"/>
    <w:rsid w:val="00E82663"/>
    <w:rsid w:val="00E8294C"/>
    <w:rsid w:val="00E829C5"/>
    <w:rsid w:val="00E82EF9"/>
    <w:rsid w:val="00E8364D"/>
    <w:rsid w:val="00E83F05"/>
    <w:rsid w:val="00E83F09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4AF"/>
    <w:rsid w:val="00EB1D0B"/>
    <w:rsid w:val="00EB1DCF"/>
    <w:rsid w:val="00EB22E3"/>
    <w:rsid w:val="00EB23F5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6A3B"/>
    <w:rsid w:val="00ED7007"/>
    <w:rsid w:val="00ED7D85"/>
    <w:rsid w:val="00ED7E34"/>
    <w:rsid w:val="00ED7EC3"/>
    <w:rsid w:val="00EE00A6"/>
    <w:rsid w:val="00EE0B79"/>
    <w:rsid w:val="00EE0CDD"/>
    <w:rsid w:val="00EE0F2C"/>
    <w:rsid w:val="00EE11CD"/>
    <w:rsid w:val="00EE1349"/>
    <w:rsid w:val="00EE1F2D"/>
    <w:rsid w:val="00EE244F"/>
    <w:rsid w:val="00EE274C"/>
    <w:rsid w:val="00EE2CED"/>
    <w:rsid w:val="00EE2F39"/>
    <w:rsid w:val="00EE6CD3"/>
    <w:rsid w:val="00EF0DCF"/>
    <w:rsid w:val="00EF1998"/>
    <w:rsid w:val="00EF46FE"/>
    <w:rsid w:val="00EF5E5D"/>
    <w:rsid w:val="00EF66B9"/>
    <w:rsid w:val="00EF6BB2"/>
    <w:rsid w:val="00EF6F1A"/>
    <w:rsid w:val="00EF71A7"/>
    <w:rsid w:val="00EF7226"/>
    <w:rsid w:val="00EF7AC2"/>
    <w:rsid w:val="00F010CD"/>
    <w:rsid w:val="00F014D6"/>
    <w:rsid w:val="00F02E66"/>
    <w:rsid w:val="00F031C9"/>
    <w:rsid w:val="00F035CB"/>
    <w:rsid w:val="00F03763"/>
    <w:rsid w:val="00F03C91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10A4D"/>
    <w:rsid w:val="00F11429"/>
    <w:rsid w:val="00F1149B"/>
    <w:rsid w:val="00F121A4"/>
    <w:rsid w:val="00F123B8"/>
    <w:rsid w:val="00F12BE2"/>
    <w:rsid w:val="00F12FBB"/>
    <w:rsid w:val="00F137A5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F79"/>
    <w:rsid w:val="00F3350B"/>
    <w:rsid w:val="00F336CE"/>
    <w:rsid w:val="00F33B30"/>
    <w:rsid w:val="00F33D5A"/>
    <w:rsid w:val="00F34D11"/>
    <w:rsid w:val="00F350DC"/>
    <w:rsid w:val="00F35A0C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730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92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152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3EF9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6F2B"/>
    <w:rsid w:val="00FD6FF4"/>
    <w:rsid w:val="00FD760E"/>
    <w:rsid w:val="00FE0DA7"/>
    <w:rsid w:val="00FE0E3A"/>
    <w:rsid w:val="00FE11A8"/>
    <w:rsid w:val="00FE11DB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DA"/>
    <w:rsid w:val="00FE5653"/>
    <w:rsid w:val="00FE57FC"/>
    <w:rsid w:val="00FE61EC"/>
    <w:rsid w:val="00FE7621"/>
    <w:rsid w:val="00FF0421"/>
    <w:rsid w:val="00FF0D92"/>
    <w:rsid w:val="00FF1D56"/>
    <w:rsid w:val="00FF1FDD"/>
    <w:rsid w:val="00FF3498"/>
    <w:rsid w:val="00FF3F5B"/>
    <w:rsid w:val="00FF405D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5ADA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777D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D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DF8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D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DF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777D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D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DF8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D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DF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AF85-2947-4640-BD20-D2FE1F7B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joanna.ratajczak</cp:lastModifiedBy>
  <cp:revision>6</cp:revision>
  <cp:lastPrinted>2016-04-02T08:08:00Z</cp:lastPrinted>
  <dcterms:created xsi:type="dcterms:W3CDTF">2016-04-01T09:24:00Z</dcterms:created>
  <dcterms:modified xsi:type="dcterms:W3CDTF">2016-04-02T08:08:00Z</dcterms:modified>
</cp:coreProperties>
</file>