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8369" w14:textId="45058D5A" w:rsidR="00285496" w:rsidRPr="00F24EA4" w:rsidRDefault="003F4348" w:rsidP="00F02861">
      <w:pPr>
        <w:shd w:val="clear" w:color="auto" w:fill="FFFFFF"/>
        <w:jc w:val="righ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Warszawa, 08</w:t>
      </w:r>
      <w:r w:rsidR="00802C9E" w:rsidRPr="00F24EA4">
        <w:rPr>
          <w:rFonts w:cs="Arial"/>
          <w:sz w:val="20"/>
          <w:szCs w:val="20"/>
          <w:lang w:val="en-US"/>
        </w:rPr>
        <w:t>.05.14</w:t>
      </w:r>
    </w:p>
    <w:p w14:paraId="72511A47" w14:textId="2D1FC21E" w:rsidR="00721187" w:rsidRPr="00F24EA4" w:rsidRDefault="001E00F4" w:rsidP="00721187">
      <w:pPr>
        <w:shd w:val="clear" w:color="auto" w:fill="FFFFFF"/>
        <w:rPr>
          <w:rFonts w:cs="Arial"/>
          <w:sz w:val="24"/>
          <w:szCs w:val="24"/>
          <w:lang w:val="en-US"/>
        </w:rPr>
      </w:pPr>
      <w:r w:rsidRPr="00F24EA4">
        <w:rPr>
          <w:rFonts w:cs="Arial"/>
          <w:sz w:val="24"/>
          <w:szCs w:val="24"/>
          <w:lang w:val="en-US"/>
        </w:rPr>
        <w:t xml:space="preserve">M&amp;A </w:t>
      </w:r>
      <w:r w:rsidR="00953555">
        <w:rPr>
          <w:rFonts w:cs="Arial"/>
          <w:sz w:val="24"/>
          <w:szCs w:val="24"/>
          <w:lang w:val="en-US"/>
        </w:rPr>
        <w:t xml:space="preserve">Index </w:t>
      </w:r>
      <w:r w:rsidR="00F24EA4">
        <w:rPr>
          <w:rFonts w:cs="Arial"/>
          <w:sz w:val="24"/>
          <w:szCs w:val="24"/>
          <w:lang w:val="en-US"/>
        </w:rPr>
        <w:t xml:space="preserve">Poland, </w:t>
      </w:r>
      <w:r w:rsidR="004777A1">
        <w:rPr>
          <w:rFonts w:cs="Arial"/>
          <w:sz w:val="24"/>
          <w:szCs w:val="24"/>
          <w:lang w:val="en-US"/>
        </w:rPr>
        <w:t xml:space="preserve">1Q 2014, </w:t>
      </w:r>
      <w:r w:rsidR="00953555">
        <w:rPr>
          <w:rFonts w:cs="Arial"/>
          <w:sz w:val="24"/>
          <w:szCs w:val="24"/>
          <w:lang w:val="en-US"/>
        </w:rPr>
        <w:t xml:space="preserve">by </w:t>
      </w:r>
      <w:r w:rsidR="00721187" w:rsidRPr="00F24EA4">
        <w:rPr>
          <w:rFonts w:cs="Arial"/>
          <w:sz w:val="24"/>
          <w:szCs w:val="24"/>
          <w:lang w:val="en-US"/>
        </w:rPr>
        <w:t>N</w:t>
      </w:r>
      <w:r w:rsidR="004777A1">
        <w:rPr>
          <w:rFonts w:cs="Arial"/>
          <w:sz w:val="24"/>
          <w:szCs w:val="24"/>
          <w:lang w:val="en-US"/>
        </w:rPr>
        <w:t>avigator</w:t>
      </w:r>
      <w:r w:rsidR="00721187" w:rsidRPr="00F24EA4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4777A1">
        <w:rPr>
          <w:rFonts w:cs="Arial"/>
          <w:sz w:val="24"/>
          <w:szCs w:val="24"/>
          <w:lang w:val="en-US"/>
        </w:rPr>
        <w:t>Capital&amp;</w:t>
      </w:r>
      <w:r w:rsidR="00721187" w:rsidRPr="00F24EA4">
        <w:rPr>
          <w:rFonts w:cs="Arial"/>
          <w:sz w:val="24"/>
          <w:szCs w:val="24"/>
          <w:lang w:val="en-US"/>
        </w:rPr>
        <w:t>D</w:t>
      </w:r>
      <w:r w:rsidR="004777A1">
        <w:rPr>
          <w:rFonts w:cs="Arial"/>
          <w:sz w:val="24"/>
          <w:szCs w:val="24"/>
          <w:lang w:val="en-US"/>
        </w:rPr>
        <w:t>atapoint</w:t>
      </w:r>
      <w:proofErr w:type="spellEnd"/>
    </w:p>
    <w:p w14:paraId="709E233F" w14:textId="44740789" w:rsidR="00F24EA4" w:rsidRPr="003F4348" w:rsidRDefault="00285496" w:rsidP="00157065">
      <w:pPr>
        <w:shd w:val="clear" w:color="auto" w:fill="FFFFFF"/>
        <w:jc w:val="right"/>
        <w:rPr>
          <w:rFonts w:ascii="Myriad Pro" w:hAnsi="Myriad Pro" w:cs="Myriad Pro"/>
          <w:b/>
          <w:i/>
          <w:sz w:val="24"/>
          <w:szCs w:val="24"/>
          <w:lang w:eastAsia="pl-PL"/>
        </w:rPr>
      </w:pPr>
      <w:r w:rsidRPr="003F4348">
        <w:rPr>
          <w:rFonts w:cs="Arial"/>
          <w:b/>
          <w:i/>
          <w:sz w:val="24"/>
          <w:szCs w:val="24"/>
        </w:rPr>
        <w:t xml:space="preserve">Komentarze ekspertów </w:t>
      </w:r>
      <w:r w:rsidR="003F4348">
        <w:rPr>
          <w:rFonts w:cs="Arial"/>
          <w:b/>
          <w:i/>
          <w:sz w:val="24"/>
          <w:szCs w:val="24"/>
        </w:rPr>
        <w:t>do 11</w:t>
      </w:r>
      <w:r w:rsidR="00F24EA4" w:rsidRPr="003F4348">
        <w:rPr>
          <w:rFonts w:cs="Arial"/>
          <w:b/>
          <w:i/>
          <w:sz w:val="24"/>
          <w:szCs w:val="24"/>
        </w:rPr>
        <w:t xml:space="preserve"> </w:t>
      </w:r>
      <w:r w:rsidR="001E00F4" w:rsidRPr="003F4348">
        <w:rPr>
          <w:rFonts w:cs="Arial"/>
          <w:b/>
          <w:i/>
          <w:sz w:val="24"/>
          <w:szCs w:val="24"/>
        </w:rPr>
        <w:t>raportu</w:t>
      </w:r>
      <w:r w:rsidR="0063010C" w:rsidRPr="003F4348">
        <w:rPr>
          <w:rFonts w:ascii="Myriad Pro" w:hAnsi="Myriad Pro" w:cs="Myriad Pro"/>
          <w:b/>
          <w:i/>
          <w:sz w:val="24"/>
          <w:szCs w:val="24"/>
          <w:lang w:eastAsia="pl-PL"/>
        </w:rPr>
        <w:t xml:space="preserve"> </w:t>
      </w:r>
    </w:p>
    <w:p w14:paraId="67597C35" w14:textId="7DBB2BAF" w:rsidR="0063010C" w:rsidRPr="00A174BC" w:rsidRDefault="0063010C" w:rsidP="00F24EA4">
      <w:pPr>
        <w:shd w:val="clear" w:color="auto" w:fill="FFFFFF"/>
        <w:spacing w:after="0"/>
        <w:jc w:val="right"/>
        <w:rPr>
          <w:rFonts w:ascii="Myriad Pro" w:hAnsi="Myriad Pro" w:cs="Myriad Pro"/>
          <w:b/>
          <w:i/>
          <w:sz w:val="24"/>
          <w:szCs w:val="24"/>
          <w:lang w:eastAsia="pl-PL"/>
        </w:rPr>
      </w:pPr>
      <w:r w:rsidRPr="00A174BC">
        <w:rPr>
          <w:rFonts w:ascii="Myriad Pro" w:hAnsi="Myriad Pro" w:cs="Myriad Pro"/>
          <w:b/>
          <w:i/>
          <w:sz w:val="24"/>
          <w:szCs w:val="24"/>
          <w:lang w:eastAsia="pl-PL"/>
        </w:rPr>
        <w:t xml:space="preserve">M&amp;A Index </w:t>
      </w:r>
      <w:r w:rsidR="00F24EA4" w:rsidRPr="00A174BC">
        <w:rPr>
          <w:rFonts w:ascii="Myriad Pro" w:hAnsi="Myriad Pro" w:cs="Myriad Pro"/>
          <w:b/>
          <w:i/>
          <w:sz w:val="24"/>
          <w:szCs w:val="24"/>
          <w:lang w:eastAsia="pl-PL"/>
        </w:rPr>
        <w:t xml:space="preserve">Poland, </w:t>
      </w:r>
      <w:r w:rsidRPr="00A174BC">
        <w:rPr>
          <w:rFonts w:ascii="Myriad Pro" w:hAnsi="Myriad Pro" w:cs="Myriad Pro"/>
          <w:b/>
          <w:i/>
          <w:sz w:val="24"/>
          <w:szCs w:val="24"/>
          <w:lang w:eastAsia="pl-PL"/>
        </w:rPr>
        <w:t xml:space="preserve">1Q 2014, </w:t>
      </w:r>
    </w:p>
    <w:p w14:paraId="7024AE40" w14:textId="00AB26A0" w:rsidR="00285496" w:rsidRPr="00F24EA4" w:rsidRDefault="0063010C" w:rsidP="00F24EA4">
      <w:pPr>
        <w:shd w:val="clear" w:color="auto" w:fill="FFFFFF"/>
        <w:spacing w:after="0"/>
        <w:jc w:val="right"/>
        <w:rPr>
          <w:rFonts w:cs="Arial"/>
          <w:i/>
          <w:sz w:val="24"/>
          <w:szCs w:val="24"/>
          <w:lang w:val="en-US"/>
        </w:rPr>
      </w:pPr>
      <w:r w:rsidRPr="00F24EA4">
        <w:rPr>
          <w:rFonts w:ascii="Myriad Pro" w:hAnsi="Myriad Pro" w:cs="Myriad Pro"/>
          <w:b/>
          <w:i/>
          <w:sz w:val="24"/>
          <w:szCs w:val="24"/>
          <w:lang w:val="en-US" w:eastAsia="pl-PL"/>
        </w:rPr>
        <w:t xml:space="preserve">by Navigator </w:t>
      </w:r>
      <w:proofErr w:type="spellStart"/>
      <w:r w:rsidRPr="00F24EA4">
        <w:rPr>
          <w:rFonts w:ascii="Myriad Pro" w:hAnsi="Myriad Pro" w:cs="Myriad Pro"/>
          <w:b/>
          <w:i/>
          <w:sz w:val="24"/>
          <w:szCs w:val="24"/>
          <w:lang w:val="en-US" w:eastAsia="pl-PL"/>
        </w:rPr>
        <w:t>Capital&amp;Datapoint</w:t>
      </w:r>
      <w:proofErr w:type="spellEnd"/>
    </w:p>
    <w:p w14:paraId="2A941FF5" w14:textId="77777777" w:rsidR="00EF09ED" w:rsidRPr="00F24EA4" w:rsidRDefault="00EF09ED" w:rsidP="00EF09ED">
      <w:pPr>
        <w:spacing w:after="0"/>
        <w:jc w:val="both"/>
        <w:rPr>
          <w:sz w:val="20"/>
          <w:szCs w:val="20"/>
          <w:lang w:val="en-US"/>
        </w:rPr>
      </w:pPr>
    </w:p>
    <w:p w14:paraId="0F9ACBD4" w14:textId="739BF233" w:rsidR="00EF09ED" w:rsidRPr="00F24EA4" w:rsidRDefault="00802C9E" w:rsidP="00EF09ED">
      <w:pPr>
        <w:spacing w:after="0"/>
        <w:jc w:val="both"/>
        <w:rPr>
          <w:b/>
          <w:sz w:val="24"/>
          <w:szCs w:val="24"/>
          <w:lang w:val="en-US"/>
        </w:rPr>
      </w:pPr>
      <w:r w:rsidRPr="00F24EA4">
        <w:rPr>
          <w:b/>
          <w:sz w:val="24"/>
          <w:szCs w:val="24"/>
          <w:lang w:val="en-US"/>
        </w:rPr>
        <w:t xml:space="preserve">Marta </w:t>
      </w:r>
      <w:proofErr w:type="spellStart"/>
      <w:r w:rsidRPr="00F24EA4">
        <w:rPr>
          <w:b/>
          <w:sz w:val="24"/>
          <w:szCs w:val="24"/>
          <w:lang w:val="en-US"/>
        </w:rPr>
        <w:t>Kotwis</w:t>
      </w:r>
      <w:proofErr w:type="spellEnd"/>
      <w:r w:rsidRPr="00F24EA4">
        <w:rPr>
          <w:b/>
          <w:sz w:val="24"/>
          <w:szCs w:val="24"/>
          <w:lang w:val="en-US"/>
        </w:rPr>
        <w:t xml:space="preserve">,  </w:t>
      </w:r>
      <w:r w:rsidRPr="00802C9E">
        <w:rPr>
          <w:b/>
          <w:sz w:val="24"/>
          <w:szCs w:val="24"/>
          <w:lang w:val="en-US"/>
        </w:rPr>
        <w:t>Key Account Director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F24EA4">
        <w:rPr>
          <w:b/>
          <w:sz w:val="24"/>
          <w:szCs w:val="24"/>
          <w:lang w:val="en-US"/>
        </w:rPr>
        <w:t>Datapoint</w:t>
      </w:r>
      <w:proofErr w:type="spellEnd"/>
      <w:r w:rsidRPr="00F24EA4">
        <w:rPr>
          <w:b/>
          <w:sz w:val="24"/>
          <w:szCs w:val="24"/>
          <w:lang w:val="en-US"/>
        </w:rPr>
        <w:t xml:space="preserve"> </w:t>
      </w:r>
    </w:p>
    <w:p w14:paraId="001D9689" w14:textId="77777777" w:rsidR="00802C9E" w:rsidRPr="00F24EA4" w:rsidRDefault="00802C9E" w:rsidP="00EF09ED">
      <w:pPr>
        <w:spacing w:after="0"/>
        <w:jc w:val="both"/>
        <w:rPr>
          <w:b/>
          <w:sz w:val="20"/>
          <w:szCs w:val="20"/>
          <w:lang w:val="en-US"/>
        </w:rPr>
      </w:pPr>
    </w:p>
    <w:p w14:paraId="2B20F6AF" w14:textId="40F58498" w:rsidR="00285496" w:rsidRDefault="007866CE" w:rsidP="00B37F7C">
      <w:pPr>
        <w:spacing w:after="0"/>
        <w:jc w:val="both"/>
        <w:rPr>
          <w:sz w:val="20"/>
          <w:szCs w:val="20"/>
        </w:rPr>
      </w:pPr>
      <w:r w:rsidRPr="003F4348">
        <w:rPr>
          <w:sz w:val="20"/>
          <w:szCs w:val="20"/>
        </w:rPr>
        <w:t>Pierwszy kwartał</w:t>
      </w:r>
      <w:r w:rsidR="00394EEE" w:rsidRPr="003F4348">
        <w:rPr>
          <w:sz w:val="20"/>
          <w:szCs w:val="20"/>
        </w:rPr>
        <w:t xml:space="preserve"> 20</w:t>
      </w:r>
      <w:r w:rsidR="00394EEE" w:rsidRPr="00162F61">
        <w:rPr>
          <w:sz w:val="20"/>
          <w:szCs w:val="20"/>
        </w:rPr>
        <w:t>14 r. na GPW upłynął pod leniwymi rządami niedźwiedzi. Najszybciej z zimoweg</w:t>
      </w:r>
      <w:r>
        <w:rPr>
          <w:sz w:val="20"/>
          <w:szCs w:val="20"/>
        </w:rPr>
        <w:t xml:space="preserve">o snu budziły się sektory </w:t>
      </w:r>
      <w:r w:rsidR="00394EEE" w:rsidRPr="00162F61">
        <w:rPr>
          <w:sz w:val="20"/>
          <w:szCs w:val="20"/>
        </w:rPr>
        <w:t xml:space="preserve">związane </w:t>
      </w:r>
      <w:r>
        <w:rPr>
          <w:sz w:val="20"/>
          <w:szCs w:val="20"/>
        </w:rPr>
        <w:t xml:space="preserve">m.in. </w:t>
      </w:r>
      <w:r w:rsidR="00285496">
        <w:rPr>
          <w:sz w:val="20"/>
          <w:szCs w:val="20"/>
        </w:rPr>
        <w:t>usługami</w:t>
      </w:r>
      <w:r w:rsidR="00394C61">
        <w:rPr>
          <w:sz w:val="20"/>
          <w:szCs w:val="20"/>
        </w:rPr>
        <w:t>, przemysłem i branżą deweloperską.</w:t>
      </w:r>
      <w:r w:rsidR="00285496">
        <w:rPr>
          <w:sz w:val="20"/>
          <w:szCs w:val="20"/>
        </w:rPr>
        <w:t xml:space="preserve"> </w:t>
      </w:r>
      <w:proofErr w:type="spellStart"/>
      <w:r w:rsidR="00285496">
        <w:rPr>
          <w:sz w:val="20"/>
          <w:szCs w:val="20"/>
        </w:rPr>
        <w:t>D</w:t>
      </w:r>
      <w:r w:rsidR="00285496" w:rsidRPr="00285496">
        <w:rPr>
          <w:sz w:val="20"/>
          <w:szCs w:val="20"/>
        </w:rPr>
        <w:t>uński</w:t>
      </w:r>
      <w:proofErr w:type="spellEnd"/>
      <w:r w:rsidR="00285496" w:rsidRPr="00285496">
        <w:rPr>
          <w:sz w:val="20"/>
          <w:szCs w:val="20"/>
        </w:rPr>
        <w:t xml:space="preserve"> producent wieprzowiny, wołowiny oraz przetworzonych </w:t>
      </w:r>
      <w:proofErr w:type="spellStart"/>
      <w:r w:rsidR="00285496" w:rsidRPr="00285496">
        <w:rPr>
          <w:sz w:val="20"/>
          <w:szCs w:val="20"/>
        </w:rPr>
        <w:t>produktów</w:t>
      </w:r>
      <w:proofErr w:type="spellEnd"/>
      <w:r w:rsidR="00285496" w:rsidRPr="00285496">
        <w:rPr>
          <w:sz w:val="20"/>
          <w:szCs w:val="20"/>
        </w:rPr>
        <w:t xml:space="preserve"> </w:t>
      </w:r>
      <w:proofErr w:type="spellStart"/>
      <w:r w:rsidR="00285496" w:rsidRPr="00285496">
        <w:rPr>
          <w:sz w:val="20"/>
          <w:szCs w:val="20"/>
        </w:rPr>
        <w:t>spożywczy</w:t>
      </w:r>
      <w:r w:rsidR="00A34AC0">
        <w:rPr>
          <w:sz w:val="20"/>
          <w:szCs w:val="20"/>
        </w:rPr>
        <w:t>ch</w:t>
      </w:r>
      <w:proofErr w:type="spellEnd"/>
      <w:r w:rsidR="00A34AC0">
        <w:rPr>
          <w:sz w:val="20"/>
          <w:szCs w:val="20"/>
        </w:rPr>
        <w:t xml:space="preserve">, </w:t>
      </w:r>
      <w:proofErr w:type="spellStart"/>
      <w:r w:rsidR="00A34AC0">
        <w:rPr>
          <w:sz w:val="20"/>
          <w:szCs w:val="20"/>
        </w:rPr>
        <w:t>Danish</w:t>
      </w:r>
      <w:proofErr w:type="spellEnd"/>
      <w:r w:rsidR="00A34AC0">
        <w:rPr>
          <w:sz w:val="20"/>
          <w:szCs w:val="20"/>
        </w:rPr>
        <w:t xml:space="preserve"> Crown </w:t>
      </w:r>
      <w:proofErr w:type="spellStart"/>
      <w:r w:rsidR="00A34AC0">
        <w:rPr>
          <w:sz w:val="20"/>
          <w:szCs w:val="20"/>
        </w:rPr>
        <w:t>AmbA</w:t>
      </w:r>
      <w:proofErr w:type="spellEnd"/>
      <w:r w:rsidR="00A34AC0">
        <w:rPr>
          <w:sz w:val="20"/>
          <w:szCs w:val="20"/>
        </w:rPr>
        <w:t>, przejął</w:t>
      </w:r>
      <w:r w:rsidR="00285496" w:rsidRPr="00285496">
        <w:rPr>
          <w:sz w:val="20"/>
          <w:szCs w:val="20"/>
        </w:rPr>
        <w:t xml:space="preserve"> </w:t>
      </w:r>
      <w:proofErr w:type="spellStart"/>
      <w:r w:rsidR="00285496" w:rsidRPr="00285496">
        <w:rPr>
          <w:sz w:val="20"/>
          <w:szCs w:val="20"/>
        </w:rPr>
        <w:t>pośrednio</w:t>
      </w:r>
      <w:proofErr w:type="spellEnd"/>
      <w:r w:rsidR="00285496" w:rsidRPr="00285496">
        <w:rPr>
          <w:sz w:val="20"/>
          <w:szCs w:val="20"/>
        </w:rPr>
        <w:t xml:space="preserve"> od </w:t>
      </w:r>
      <w:proofErr w:type="spellStart"/>
      <w:r w:rsidR="00285496" w:rsidRPr="00285496">
        <w:rPr>
          <w:sz w:val="20"/>
          <w:szCs w:val="20"/>
        </w:rPr>
        <w:t>fińskiego</w:t>
      </w:r>
      <w:proofErr w:type="spellEnd"/>
      <w:r w:rsidR="00285496" w:rsidRPr="00285496">
        <w:rPr>
          <w:sz w:val="20"/>
          <w:szCs w:val="20"/>
        </w:rPr>
        <w:t xml:space="preserve"> </w:t>
      </w:r>
      <w:proofErr w:type="spellStart"/>
      <w:r w:rsidR="00285496" w:rsidRPr="00285496">
        <w:rPr>
          <w:sz w:val="20"/>
          <w:szCs w:val="20"/>
        </w:rPr>
        <w:t>HK</w:t>
      </w:r>
      <w:r w:rsidR="00285496">
        <w:rPr>
          <w:sz w:val="20"/>
          <w:szCs w:val="20"/>
        </w:rPr>
        <w:t>Scan</w:t>
      </w:r>
      <w:proofErr w:type="spellEnd"/>
      <w:r w:rsidR="00285496">
        <w:rPr>
          <w:sz w:val="20"/>
          <w:szCs w:val="20"/>
        </w:rPr>
        <w:t xml:space="preserve"> </w:t>
      </w:r>
      <w:proofErr w:type="spellStart"/>
      <w:r w:rsidR="00285496">
        <w:rPr>
          <w:sz w:val="20"/>
          <w:szCs w:val="20"/>
        </w:rPr>
        <w:t>Corporation</w:t>
      </w:r>
      <w:proofErr w:type="spellEnd"/>
      <w:r w:rsidR="00285496">
        <w:rPr>
          <w:sz w:val="20"/>
          <w:szCs w:val="20"/>
        </w:rPr>
        <w:t xml:space="preserve"> 50% </w:t>
      </w:r>
      <w:r w:rsidR="00BC0953">
        <w:rPr>
          <w:sz w:val="20"/>
          <w:szCs w:val="20"/>
        </w:rPr>
        <w:t xml:space="preserve"> </w:t>
      </w:r>
      <w:proofErr w:type="spellStart"/>
      <w:r w:rsidR="00285496">
        <w:rPr>
          <w:sz w:val="20"/>
          <w:szCs w:val="20"/>
        </w:rPr>
        <w:t>udziałów</w:t>
      </w:r>
      <w:proofErr w:type="spellEnd"/>
      <w:r w:rsidR="00285496">
        <w:rPr>
          <w:sz w:val="20"/>
          <w:szCs w:val="20"/>
        </w:rPr>
        <w:t xml:space="preserve"> polskiego producenta</w:t>
      </w:r>
      <w:r w:rsidR="00A34AC0">
        <w:rPr>
          <w:sz w:val="20"/>
          <w:szCs w:val="20"/>
        </w:rPr>
        <w:t xml:space="preserve"> </w:t>
      </w:r>
      <w:proofErr w:type="spellStart"/>
      <w:r w:rsidR="00A34AC0">
        <w:rPr>
          <w:sz w:val="20"/>
          <w:szCs w:val="20"/>
        </w:rPr>
        <w:t>wyrobów</w:t>
      </w:r>
      <w:proofErr w:type="spellEnd"/>
      <w:r w:rsidR="00A34AC0">
        <w:rPr>
          <w:sz w:val="20"/>
          <w:szCs w:val="20"/>
        </w:rPr>
        <w:t xml:space="preserve"> </w:t>
      </w:r>
      <w:proofErr w:type="spellStart"/>
      <w:r w:rsidR="00A34AC0">
        <w:rPr>
          <w:sz w:val="20"/>
          <w:szCs w:val="20"/>
        </w:rPr>
        <w:t>mięsnych</w:t>
      </w:r>
      <w:proofErr w:type="spellEnd"/>
      <w:r w:rsidR="00A34AC0">
        <w:rPr>
          <w:sz w:val="20"/>
          <w:szCs w:val="20"/>
        </w:rPr>
        <w:t xml:space="preserve"> </w:t>
      </w:r>
      <w:proofErr w:type="spellStart"/>
      <w:r w:rsidR="00285496" w:rsidRPr="00285496">
        <w:rPr>
          <w:sz w:val="20"/>
          <w:szCs w:val="20"/>
        </w:rPr>
        <w:t>Sokoł</w:t>
      </w:r>
      <w:r w:rsidR="00285496">
        <w:rPr>
          <w:sz w:val="20"/>
          <w:szCs w:val="20"/>
        </w:rPr>
        <w:t>ów</w:t>
      </w:r>
      <w:proofErr w:type="spellEnd"/>
      <w:r w:rsidR="00285496">
        <w:rPr>
          <w:sz w:val="20"/>
          <w:szCs w:val="20"/>
        </w:rPr>
        <w:t xml:space="preserve"> S.A., za </w:t>
      </w:r>
      <w:proofErr w:type="spellStart"/>
      <w:r w:rsidR="00285496">
        <w:rPr>
          <w:sz w:val="20"/>
          <w:szCs w:val="20"/>
        </w:rPr>
        <w:t>kwote</w:t>
      </w:r>
      <w:proofErr w:type="spellEnd"/>
      <w:r w:rsidR="00285496">
        <w:rPr>
          <w:sz w:val="20"/>
          <w:szCs w:val="20"/>
        </w:rPr>
        <w:t xml:space="preserve">̨ 180 mln EUR. </w:t>
      </w:r>
      <w:r w:rsidR="00BC0953">
        <w:rPr>
          <w:sz w:val="20"/>
          <w:szCs w:val="20"/>
        </w:rPr>
        <w:t>Była to największa transakcja w Polsce w minionym kwartale.</w:t>
      </w:r>
      <w:r w:rsidR="00FF0048">
        <w:rPr>
          <w:sz w:val="20"/>
          <w:szCs w:val="20"/>
        </w:rPr>
        <w:t xml:space="preserve"> Wartość nie robi wrażenia, </w:t>
      </w:r>
      <w:r w:rsidR="004777A1">
        <w:rPr>
          <w:sz w:val="20"/>
          <w:szCs w:val="20"/>
        </w:rPr>
        <w:t>biorąc pod uwagę te</w:t>
      </w:r>
      <w:r w:rsidR="00F739C0">
        <w:rPr>
          <w:sz w:val="20"/>
          <w:szCs w:val="20"/>
        </w:rPr>
        <w:t xml:space="preserve"> osiągane w skali globalnej (wartość największej transakcji</w:t>
      </w:r>
      <w:r w:rsidR="00A5705C">
        <w:rPr>
          <w:sz w:val="20"/>
          <w:szCs w:val="20"/>
        </w:rPr>
        <w:t xml:space="preserve"> w tym okresie</w:t>
      </w:r>
      <w:r w:rsidR="00F739C0">
        <w:rPr>
          <w:sz w:val="20"/>
          <w:szCs w:val="20"/>
        </w:rPr>
        <w:t xml:space="preserve"> to 68,5</w:t>
      </w:r>
      <w:r w:rsidR="00357529">
        <w:rPr>
          <w:sz w:val="20"/>
          <w:szCs w:val="20"/>
        </w:rPr>
        <w:t xml:space="preserve"> </w:t>
      </w:r>
      <w:r w:rsidR="00F739C0">
        <w:rPr>
          <w:sz w:val="20"/>
          <w:szCs w:val="20"/>
        </w:rPr>
        <w:t xml:space="preserve">mld USD – zakup </w:t>
      </w:r>
      <w:proofErr w:type="spellStart"/>
      <w:r w:rsidR="00F739C0">
        <w:rPr>
          <w:sz w:val="20"/>
          <w:szCs w:val="20"/>
        </w:rPr>
        <w:t>Comcast</w:t>
      </w:r>
      <w:proofErr w:type="spellEnd"/>
      <w:r w:rsidR="00F739C0">
        <w:rPr>
          <w:sz w:val="20"/>
          <w:szCs w:val="20"/>
        </w:rPr>
        <w:t xml:space="preserve"> </w:t>
      </w:r>
      <w:proofErr w:type="spellStart"/>
      <w:r w:rsidR="00F739C0">
        <w:rPr>
          <w:sz w:val="20"/>
          <w:szCs w:val="20"/>
        </w:rPr>
        <w:t>Corporation</w:t>
      </w:r>
      <w:proofErr w:type="spellEnd"/>
      <w:r w:rsidR="00F739C0">
        <w:rPr>
          <w:sz w:val="20"/>
          <w:szCs w:val="20"/>
        </w:rPr>
        <w:t xml:space="preserve"> przez </w:t>
      </w:r>
      <w:r w:rsidR="00F739C0" w:rsidRPr="00F02861">
        <w:rPr>
          <w:sz w:val="20"/>
          <w:szCs w:val="20"/>
        </w:rPr>
        <w:t>Time Warner Cable</w:t>
      </w:r>
      <w:r w:rsidR="00F739C0">
        <w:rPr>
          <w:sz w:val="20"/>
          <w:szCs w:val="20"/>
        </w:rPr>
        <w:t>).</w:t>
      </w:r>
      <w:r w:rsidR="006962E7">
        <w:rPr>
          <w:sz w:val="20"/>
          <w:szCs w:val="20"/>
        </w:rPr>
        <w:t xml:space="preserve"> Generalnie aktywność M&amp;A w Polsce była zdecydowanie niższa niż w IV kwartale 2013.</w:t>
      </w:r>
      <w:r w:rsidR="009D3749">
        <w:rPr>
          <w:sz w:val="20"/>
          <w:szCs w:val="20"/>
        </w:rPr>
        <w:t xml:space="preserve"> </w:t>
      </w:r>
    </w:p>
    <w:p w14:paraId="7E3BA83C" w14:textId="77777777" w:rsidR="00285496" w:rsidRDefault="00285496" w:rsidP="00B37F7C">
      <w:pPr>
        <w:spacing w:after="0"/>
        <w:jc w:val="both"/>
        <w:rPr>
          <w:sz w:val="20"/>
          <w:szCs w:val="20"/>
        </w:rPr>
      </w:pPr>
    </w:p>
    <w:p w14:paraId="146AD77D" w14:textId="25EC851A" w:rsidR="008D3740" w:rsidRDefault="00285496" w:rsidP="00B37F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534FB" w:rsidRPr="00162F61">
        <w:rPr>
          <w:sz w:val="20"/>
          <w:szCs w:val="20"/>
        </w:rPr>
        <w:t xml:space="preserve"> </w:t>
      </w:r>
      <w:r w:rsidR="00F81807" w:rsidRPr="00162F61">
        <w:rPr>
          <w:sz w:val="20"/>
          <w:szCs w:val="20"/>
        </w:rPr>
        <w:t>regionie CEE</w:t>
      </w:r>
      <w:r w:rsidR="00162F61" w:rsidRPr="00162F61">
        <w:rPr>
          <w:sz w:val="20"/>
          <w:szCs w:val="20"/>
        </w:rPr>
        <w:t xml:space="preserve"> I kwartał 2014 </w:t>
      </w:r>
      <w:r w:rsidR="00BE5DC1">
        <w:rPr>
          <w:sz w:val="20"/>
          <w:szCs w:val="20"/>
        </w:rPr>
        <w:t xml:space="preserve">r. </w:t>
      </w:r>
      <w:r>
        <w:rPr>
          <w:sz w:val="20"/>
          <w:szCs w:val="20"/>
        </w:rPr>
        <w:t xml:space="preserve">także </w:t>
      </w:r>
      <w:r w:rsidR="00162F61" w:rsidRPr="00162F61">
        <w:rPr>
          <w:sz w:val="20"/>
          <w:szCs w:val="20"/>
        </w:rPr>
        <w:t>okazał się zdecydowanie spokojniejszy w</w:t>
      </w:r>
      <w:r w:rsidR="007866CE">
        <w:rPr>
          <w:sz w:val="20"/>
          <w:szCs w:val="20"/>
        </w:rPr>
        <w:t xml:space="preserve"> porównaniu do IV kwartału</w:t>
      </w:r>
      <w:r w:rsidR="00BE5DC1">
        <w:rPr>
          <w:sz w:val="20"/>
          <w:szCs w:val="20"/>
        </w:rPr>
        <w:t xml:space="preserve"> 2013 </w:t>
      </w:r>
      <w:r w:rsidR="00B37F7C">
        <w:rPr>
          <w:sz w:val="20"/>
          <w:szCs w:val="20"/>
        </w:rPr>
        <w:t xml:space="preserve">r. </w:t>
      </w:r>
      <w:r w:rsidR="00BE5DC1">
        <w:rPr>
          <w:sz w:val="20"/>
          <w:szCs w:val="20"/>
        </w:rPr>
        <w:t>(</w:t>
      </w:r>
      <w:r w:rsidR="00B37F7C">
        <w:rPr>
          <w:sz w:val="20"/>
          <w:szCs w:val="20"/>
        </w:rPr>
        <w:t xml:space="preserve">liczba transakcji spadła do </w:t>
      </w:r>
      <w:r w:rsidR="00B37F7C" w:rsidRPr="00F02861">
        <w:rPr>
          <w:sz w:val="20"/>
          <w:szCs w:val="20"/>
        </w:rPr>
        <w:t xml:space="preserve">2,288 </w:t>
      </w:r>
      <w:r w:rsidR="00B37F7C">
        <w:rPr>
          <w:sz w:val="20"/>
          <w:szCs w:val="20"/>
        </w:rPr>
        <w:t xml:space="preserve">z </w:t>
      </w:r>
      <w:r w:rsidR="00BE5DC1" w:rsidRPr="00F02861">
        <w:rPr>
          <w:sz w:val="20"/>
          <w:szCs w:val="20"/>
        </w:rPr>
        <w:t>3,236</w:t>
      </w:r>
      <w:r w:rsidR="00B37F7C">
        <w:rPr>
          <w:sz w:val="20"/>
          <w:szCs w:val="20"/>
        </w:rPr>
        <w:t xml:space="preserve">), </w:t>
      </w:r>
      <w:r w:rsidR="00162F61">
        <w:rPr>
          <w:sz w:val="20"/>
          <w:szCs w:val="20"/>
        </w:rPr>
        <w:t xml:space="preserve">a nawet mówi się, że </w:t>
      </w:r>
      <w:r w:rsidR="00162F61" w:rsidRPr="00162F61">
        <w:rPr>
          <w:sz w:val="20"/>
          <w:szCs w:val="20"/>
        </w:rPr>
        <w:t>był to jeden z</w:t>
      </w:r>
      <w:r w:rsidR="00953555">
        <w:rPr>
          <w:sz w:val="20"/>
          <w:szCs w:val="20"/>
        </w:rPr>
        <w:t xml:space="preserve">e </w:t>
      </w:r>
      <w:r w:rsidR="00162F61" w:rsidRPr="00162F61">
        <w:rPr>
          <w:sz w:val="20"/>
          <w:szCs w:val="20"/>
        </w:rPr>
        <w:t>spokojniejs</w:t>
      </w:r>
      <w:r w:rsidR="00162F61">
        <w:rPr>
          <w:sz w:val="20"/>
          <w:szCs w:val="20"/>
        </w:rPr>
        <w:t xml:space="preserve">zych okresów od przełomu 2008/9 </w:t>
      </w:r>
      <w:r w:rsidR="00B37F7C">
        <w:rPr>
          <w:sz w:val="20"/>
          <w:szCs w:val="20"/>
        </w:rPr>
        <w:t>r.</w:t>
      </w:r>
      <w:r w:rsidR="009B1C96">
        <w:rPr>
          <w:sz w:val="20"/>
          <w:szCs w:val="20"/>
        </w:rPr>
        <w:t xml:space="preserve"> Z</w:t>
      </w:r>
      <w:r w:rsidR="00B71035">
        <w:rPr>
          <w:sz w:val="20"/>
          <w:szCs w:val="20"/>
        </w:rPr>
        <w:t>a główną</w:t>
      </w:r>
      <w:r w:rsidR="006B2239">
        <w:rPr>
          <w:sz w:val="20"/>
          <w:szCs w:val="20"/>
        </w:rPr>
        <w:t xml:space="preserve"> przyczynę </w:t>
      </w:r>
      <w:r w:rsidR="009B1C96">
        <w:rPr>
          <w:sz w:val="20"/>
          <w:szCs w:val="20"/>
        </w:rPr>
        <w:t xml:space="preserve">upatruje się kryzys na linii </w:t>
      </w:r>
      <w:r w:rsidR="00B71035">
        <w:rPr>
          <w:sz w:val="20"/>
          <w:szCs w:val="20"/>
        </w:rPr>
        <w:t>Ukraina-</w:t>
      </w:r>
      <w:r w:rsidR="006B2239">
        <w:rPr>
          <w:sz w:val="20"/>
          <w:szCs w:val="20"/>
        </w:rPr>
        <w:t xml:space="preserve">Rosja, mający znaczący </w:t>
      </w:r>
      <w:r w:rsidR="009B1C96">
        <w:rPr>
          <w:sz w:val="20"/>
          <w:szCs w:val="20"/>
        </w:rPr>
        <w:t xml:space="preserve">wpływ na </w:t>
      </w:r>
      <w:r w:rsidR="00656C90">
        <w:rPr>
          <w:sz w:val="20"/>
          <w:szCs w:val="20"/>
        </w:rPr>
        <w:t xml:space="preserve">dynamikę gospodarczą </w:t>
      </w:r>
      <w:r w:rsidR="009B1C96">
        <w:rPr>
          <w:sz w:val="20"/>
          <w:szCs w:val="20"/>
        </w:rPr>
        <w:t>cał</w:t>
      </w:r>
      <w:r w:rsidR="00656C90">
        <w:rPr>
          <w:sz w:val="20"/>
          <w:szCs w:val="20"/>
        </w:rPr>
        <w:t>ego</w:t>
      </w:r>
      <w:r w:rsidR="009B1C96">
        <w:rPr>
          <w:sz w:val="20"/>
          <w:szCs w:val="20"/>
        </w:rPr>
        <w:t xml:space="preserve"> region</w:t>
      </w:r>
      <w:r w:rsidR="00656C90">
        <w:rPr>
          <w:sz w:val="20"/>
          <w:szCs w:val="20"/>
        </w:rPr>
        <w:t>u</w:t>
      </w:r>
      <w:r w:rsidR="009B1C96">
        <w:rPr>
          <w:sz w:val="20"/>
          <w:szCs w:val="20"/>
        </w:rPr>
        <w:t>.</w:t>
      </w:r>
      <w:r w:rsidR="00B37F7C">
        <w:rPr>
          <w:sz w:val="20"/>
          <w:szCs w:val="20"/>
        </w:rPr>
        <w:t xml:space="preserve"> </w:t>
      </w:r>
      <w:r w:rsidR="00B71035">
        <w:rPr>
          <w:sz w:val="20"/>
          <w:szCs w:val="20"/>
        </w:rPr>
        <w:t>Wpływ tego czynnika jest tym bardziej uzasadniony, że obraz c</w:t>
      </w:r>
      <w:r w:rsidR="007630C6">
        <w:rPr>
          <w:sz w:val="20"/>
          <w:szCs w:val="20"/>
        </w:rPr>
        <w:t>ałej Europy wygląda</w:t>
      </w:r>
      <w:r w:rsidR="00B71035">
        <w:rPr>
          <w:sz w:val="20"/>
          <w:szCs w:val="20"/>
        </w:rPr>
        <w:t xml:space="preserve"> lepiej</w:t>
      </w:r>
      <w:r w:rsidR="00656C90">
        <w:rPr>
          <w:sz w:val="20"/>
          <w:szCs w:val="20"/>
        </w:rPr>
        <w:t xml:space="preserve">, </w:t>
      </w:r>
      <w:r w:rsidR="008D3740">
        <w:rPr>
          <w:sz w:val="20"/>
          <w:szCs w:val="20"/>
        </w:rPr>
        <w:t xml:space="preserve">liczba transakcji nieznacznie wzrosła w porównaniu do poprzedniego kwartału, natomiast ich wartość osiągnęła ponad 19% wzrost w porównaniu do tego samego okresu w roku poprzednim. Zdecydowane ożywienie </w:t>
      </w:r>
      <w:r w:rsidR="00A6668D">
        <w:rPr>
          <w:sz w:val="20"/>
          <w:szCs w:val="20"/>
        </w:rPr>
        <w:t>utrzymuje się</w:t>
      </w:r>
      <w:r w:rsidR="008D3740">
        <w:rPr>
          <w:sz w:val="20"/>
          <w:szCs w:val="20"/>
        </w:rPr>
        <w:t xml:space="preserve"> </w:t>
      </w:r>
      <w:r w:rsidR="00A6668D">
        <w:rPr>
          <w:sz w:val="20"/>
          <w:szCs w:val="20"/>
        </w:rPr>
        <w:t xml:space="preserve">natomiast w skali globalnej, w porównaniu do tego samego okresu w roku 2013 odnotowano ponad 30% wzrost wartości transakcji </w:t>
      </w:r>
      <w:r w:rsidR="00733E82">
        <w:rPr>
          <w:sz w:val="20"/>
          <w:szCs w:val="20"/>
        </w:rPr>
        <w:t xml:space="preserve">(z </w:t>
      </w:r>
      <w:r w:rsidR="00733E82" w:rsidRPr="00F02861">
        <w:rPr>
          <w:sz w:val="20"/>
          <w:szCs w:val="20"/>
        </w:rPr>
        <w:t>449.6mld USD</w:t>
      </w:r>
      <w:r w:rsidR="00733E82">
        <w:rPr>
          <w:sz w:val="20"/>
          <w:szCs w:val="20"/>
        </w:rPr>
        <w:t xml:space="preserve"> do </w:t>
      </w:r>
      <w:r w:rsidR="00733E82" w:rsidRPr="00F02861">
        <w:rPr>
          <w:sz w:val="20"/>
          <w:szCs w:val="20"/>
        </w:rPr>
        <w:t xml:space="preserve">566.6mld USD) </w:t>
      </w:r>
      <w:r w:rsidR="00A6668D">
        <w:rPr>
          <w:sz w:val="20"/>
          <w:szCs w:val="20"/>
        </w:rPr>
        <w:t>i jeśli zapowiedzi ogłoszonych w 2014 roku transakcji się utrzymają będzi</w:t>
      </w:r>
      <w:r w:rsidR="00733E82">
        <w:rPr>
          <w:sz w:val="20"/>
          <w:szCs w:val="20"/>
        </w:rPr>
        <w:t>e to najlepszy rok o</w:t>
      </w:r>
      <w:r w:rsidR="00953555">
        <w:rPr>
          <w:sz w:val="20"/>
          <w:szCs w:val="20"/>
        </w:rPr>
        <w:t>d 2007</w:t>
      </w:r>
      <w:r w:rsidR="00733E82">
        <w:rPr>
          <w:sz w:val="20"/>
          <w:szCs w:val="20"/>
        </w:rPr>
        <w:t xml:space="preserve"> (zapowiedź to prawie </w:t>
      </w:r>
      <w:r w:rsidR="00733E82">
        <w:rPr>
          <w:rFonts w:ascii="Trebuchet MS" w:hAnsi="Trebuchet MS"/>
          <w:color w:val="000000"/>
          <w:sz w:val="18"/>
          <w:szCs w:val="18"/>
          <w:shd w:val="clear" w:color="auto" w:fill="FFFFFF"/>
        </w:rPr>
        <w:t>4 biliony dolarów).</w:t>
      </w:r>
    </w:p>
    <w:p w14:paraId="36181CA5" w14:textId="48D518F4" w:rsidR="005662BF" w:rsidRPr="009C3244" w:rsidRDefault="005662BF" w:rsidP="005662BF">
      <w:pPr>
        <w:spacing w:after="0"/>
        <w:jc w:val="both"/>
        <w:rPr>
          <w:sz w:val="20"/>
          <w:szCs w:val="20"/>
        </w:rPr>
      </w:pPr>
    </w:p>
    <w:p w14:paraId="5571B477" w14:textId="4A20482A" w:rsidR="005662BF" w:rsidRDefault="00A558C7" w:rsidP="009C3244">
      <w:pPr>
        <w:spacing w:after="0"/>
        <w:jc w:val="both"/>
        <w:rPr>
          <w:sz w:val="20"/>
          <w:szCs w:val="20"/>
        </w:rPr>
      </w:pPr>
      <w:r w:rsidRPr="00A558C7">
        <w:rPr>
          <w:sz w:val="20"/>
          <w:szCs w:val="20"/>
        </w:rPr>
        <w:t xml:space="preserve">W </w:t>
      </w:r>
      <w:r w:rsidR="006962E7">
        <w:rPr>
          <w:sz w:val="20"/>
          <w:szCs w:val="20"/>
        </w:rPr>
        <w:t>Polsce</w:t>
      </w:r>
      <w:r w:rsidR="006C79EB">
        <w:rPr>
          <w:sz w:val="20"/>
          <w:szCs w:val="20"/>
        </w:rPr>
        <w:t>,</w:t>
      </w:r>
      <w:r w:rsidR="006962E7">
        <w:rPr>
          <w:sz w:val="20"/>
          <w:szCs w:val="20"/>
        </w:rPr>
        <w:t xml:space="preserve"> w </w:t>
      </w:r>
      <w:r w:rsidRPr="00A558C7">
        <w:rPr>
          <w:sz w:val="20"/>
          <w:szCs w:val="20"/>
        </w:rPr>
        <w:t xml:space="preserve">obliczu </w:t>
      </w:r>
      <w:r w:rsidR="007866CE">
        <w:rPr>
          <w:sz w:val="20"/>
          <w:szCs w:val="20"/>
        </w:rPr>
        <w:t xml:space="preserve">wyraźnego spowolnienia i </w:t>
      </w:r>
      <w:r w:rsidRPr="00A558C7">
        <w:rPr>
          <w:sz w:val="20"/>
          <w:szCs w:val="20"/>
        </w:rPr>
        <w:t>braku planowanych ofert prywatyzacyjnych</w:t>
      </w:r>
      <w:r w:rsidR="009D3749">
        <w:rPr>
          <w:sz w:val="20"/>
          <w:szCs w:val="20"/>
        </w:rPr>
        <w:t>,</w:t>
      </w:r>
      <w:r w:rsidRPr="00A558C7">
        <w:rPr>
          <w:sz w:val="20"/>
          <w:szCs w:val="20"/>
        </w:rPr>
        <w:t xml:space="preserve"> GPW </w:t>
      </w:r>
      <w:r w:rsidR="00A34AC0">
        <w:rPr>
          <w:sz w:val="20"/>
          <w:szCs w:val="20"/>
        </w:rPr>
        <w:t xml:space="preserve">będzie musiała zmierzyć się </w:t>
      </w:r>
      <w:r w:rsidR="007866CE">
        <w:rPr>
          <w:sz w:val="20"/>
          <w:szCs w:val="20"/>
        </w:rPr>
        <w:t>z przewidywaniami inwestorów o możliwej utracie pozycji</w:t>
      </w:r>
      <w:r w:rsidRPr="00A558C7">
        <w:rPr>
          <w:sz w:val="20"/>
          <w:szCs w:val="20"/>
        </w:rPr>
        <w:t xml:space="preserve"> jednego z najaktywniejszych rynków IPO w Europie.</w:t>
      </w:r>
    </w:p>
    <w:p w14:paraId="4D226F2B" w14:textId="77777777" w:rsidR="00A558C7" w:rsidRDefault="00A558C7" w:rsidP="00A558C7">
      <w:pPr>
        <w:spacing w:after="0"/>
        <w:jc w:val="both"/>
        <w:rPr>
          <w:sz w:val="20"/>
          <w:szCs w:val="20"/>
        </w:rPr>
      </w:pPr>
    </w:p>
    <w:p w14:paraId="7A1FD525" w14:textId="0E4CDA53" w:rsidR="00A34AC0" w:rsidRDefault="009C3244" w:rsidP="00A34AC0">
      <w:pPr>
        <w:spacing w:after="0"/>
        <w:jc w:val="both"/>
        <w:rPr>
          <w:sz w:val="20"/>
          <w:szCs w:val="20"/>
        </w:rPr>
      </w:pPr>
      <w:r w:rsidRPr="00A558C7">
        <w:rPr>
          <w:sz w:val="20"/>
          <w:szCs w:val="20"/>
        </w:rPr>
        <w:t>W</w:t>
      </w:r>
      <w:r w:rsidR="00D534FB" w:rsidRPr="00A558C7">
        <w:rPr>
          <w:sz w:val="20"/>
          <w:szCs w:val="20"/>
        </w:rPr>
        <w:t xml:space="preserve"> regionie CEE spodziewana jest dalsza </w:t>
      </w:r>
      <w:r w:rsidRPr="00A558C7">
        <w:rPr>
          <w:sz w:val="20"/>
          <w:szCs w:val="20"/>
        </w:rPr>
        <w:t>kumulacja fuzji i przejęć na rynku telekomunikacyjnym</w:t>
      </w:r>
      <w:r w:rsidR="00D534FB" w:rsidRPr="00A558C7">
        <w:rPr>
          <w:sz w:val="20"/>
          <w:szCs w:val="20"/>
        </w:rPr>
        <w:t xml:space="preserve">. </w:t>
      </w:r>
      <w:r w:rsidR="0063010C">
        <w:rPr>
          <w:sz w:val="20"/>
          <w:szCs w:val="20"/>
        </w:rPr>
        <w:t xml:space="preserve">Ostatnie udane transakcje to </w:t>
      </w:r>
      <w:r w:rsidR="00D534FB" w:rsidRPr="00A558C7">
        <w:rPr>
          <w:sz w:val="20"/>
          <w:szCs w:val="20"/>
        </w:rPr>
        <w:t xml:space="preserve"> zakup </w:t>
      </w:r>
      <w:proofErr w:type="spellStart"/>
      <w:r w:rsidR="00BE5DC1" w:rsidRPr="00A558C7">
        <w:rPr>
          <w:sz w:val="20"/>
          <w:szCs w:val="20"/>
        </w:rPr>
        <w:t>Emitela</w:t>
      </w:r>
      <w:proofErr w:type="spellEnd"/>
      <w:r w:rsidR="0063010C">
        <w:rPr>
          <w:sz w:val="20"/>
          <w:szCs w:val="20"/>
        </w:rPr>
        <w:t xml:space="preserve"> przez </w:t>
      </w:r>
      <w:proofErr w:type="spellStart"/>
      <w:r w:rsidR="0063010C" w:rsidRPr="00A558C7">
        <w:rPr>
          <w:sz w:val="20"/>
          <w:szCs w:val="20"/>
        </w:rPr>
        <w:t>Alinda</w:t>
      </w:r>
      <w:proofErr w:type="spellEnd"/>
      <w:r w:rsidR="0063010C" w:rsidRPr="00A558C7">
        <w:rPr>
          <w:sz w:val="20"/>
          <w:szCs w:val="20"/>
        </w:rPr>
        <w:t xml:space="preserve"> Capital Partners</w:t>
      </w:r>
      <w:r w:rsidR="00BE5DC1" w:rsidRPr="00A558C7">
        <w:rPr>
          <w:sz w:val="20"/>
          <w:szCs w:val="20"/>
        </w:rPr>
        <w:t xml:space="preserve">, </w:t>
      </w:r>
      <w:r w:rsidR="0063010C">
        <w:rPr>
          <w:sz w:val="20"/>
          <w:szCs w:val="20"/>
        </w:rPr>
        <w:t xml:space="preserve">czy </w:t>
      </w:r>
      <w:r w:rsidR="0063010C" w:rsidRPr="00A558C7">
        <w:rPr>
          <w:sz w:val="20"/>
          <w:szCs w:val="20"/>
        </w:rPr>
        <w:t>GTS Central Europe</w:t>
      </w:r>
      <w:r w:rsidR="0063010C">
        <w:rPr>
          <w:sz w:val="20"/>
          <w:szCs w:val="20"/>
        </w:rPr>
        <w:t xml:space="preserve"> przez </w:t>
      </w:r>
      <w:r w:rsidR="00D534FB" w:rsidRPr="00A558C7">
        <w:rPr>
          <w:sz w:val="20"/>
          <w:szCs w:val="20"/>
        </w:rPr>
        <w:t>Deutsche Telekom</w:t>
      </w:r>
      <w:r w:rsidR="0063010C">
        <w:rPr>
          <w:sz w:val="20"/>
          <w:szCs w:val="20"/>
        </w:rPr>
        <w:t>.</w:t>
      </w:r>
      <w:r w:rsidR="00BE5DC1" w:rsidRPr="00A558C7">
        <w:rPr>
          <w:sz w:val="20"/>
          <w:szCs w:val="20"/>
        </w:rPr>
        <w:t xml:space="preserve"> Rysuje się także wyraźny trend kursu inwestorów ku małym i średnim przedsiębiorstwom o wartości do 250 mln EUR. </w:t>
      </w:r>
      <w:r w:rsidR="004777A1">
        <w:rPr>
          <w:sz w:val="20"/>
          <w:szCs w:val="20"/>
        </w:rPr>
        <w:t>Warto zauważyć już od dawna postępujący spadek wartości transakcji (o 41 % w porównaniu do pierw</w:t>
      </w:r>
      <w:r w:rsidR="006962E7">
        <w:rPr>
          <w:sz w:val="20"/>
          <w:szCs w:val="20"/>
        </w:rPr>
        <w:t xml:space="preserve">szego kwartału </w:t>
      </w:r>
      <w:r w:rsidR="004777A1">
        <w:rPr>
          <w:sz w:val="20"/>
          <w:szCs w:val="20"/>
        </w:rPr>
        <w:t>ubiegłego roku)</w:t>
      </w:r>
      <w:r w:rsidR="006962E7">
        <w:rPr>
          <w:sz w:val="20"/>
          <w:szCs w:val="20"/>
        </w:rPr>
        <w:t xml:space="preserve">. </w:t>
      </w:r>
      <w:r w:rsidR="00A34AC0" w:rsidRPr="00A558C7">
        <w:rPr>
          <w:sz w:val="20"/>
          <w:szCs w:val="20"/>
        </w:rPr>
        <w:t xml:space="preserve">Spodziewana  jest także dalsza konsolidacja banków zapoczątkowana przez Węgierski Bank OTP, który przejął </w:t>
      </w:r>
      <w:proofErr w:type="spellStart"/>
      <w:r w:rsidR="00A34AC0" w:rsidRPr="00A558C7">
        <w:rPr>
          <w:sz w:val="20"/>
          <w:szCs w:val="20"/>
        </w:rPr>
        <w:t>Banco</w:t>
      </w:r>
      <w:proofErr w:type="spellEnd"/>
      <w:r w:rsidR="00A34AC0" w:rsidRPr="00A558C7">
        <w:rPr>
          <w:sz w:val="20"/>
          <w:szCs w:val="20"/>
        </w:rPr>
        <w:t xml:space="preserve"> </w:t>
      </w:r>
      <w:proofErr w:type="spellStart"/>
      <w:r w:rsidR="00A34AC0" w:rsidRPr="00A558C7">
        <w:rPr>
          <w:sz w:val="20"/>
          <w:szCs w:val="20"/>
        </w:rPr>
        <w:t>Popolare</w:t>
      </w:r>
      <w:proofErr w:type="spellEnd"/>
      <w:r w:rsidR="00A34AC0" w:rsidRPr="00A558C7">
        <w:rPr>
          <w:sz w:val="20"/>
          <w:szCs w:val="20"/>
        </w:rPr>
        <w:t xml:space="preserve"> </w:t>
      </w:r>
      <w:proofErr w:type="spellStart"/>
      <w:r w:rsidR="00A34AC0" w:rsidRPr="00A558C7">
        <w:rPr>
          <w:sz w:val="20"/>
          <w:szCs w:val="20"/>
        </w:rPr>
        <w:t>Croatia</w:t>
      </w:r>
      <w:proofErr w:type="spellEnd"/>
      <w:r w:rsidR="00A34AC0" w:rsidRPr="00A558C7">
        <w:rPr>
          <w:sz w:val="20"/>
          <w:szCs w:val="20"/>
        </w:rPr>
        <w:t xml:space="preserve"> za 14</w:t>
      </w:r>
      <w:r w:rsidR="00A34AC0">
        <w:rPr>
          <w:sz w:val="20"/>
          <w:szCs w:val="20"/>
        </w:rPr>
        <w:t xml:space="preserve"> </w:t>
      </w:r>
      <w:r w:rsidR="00A34AC0" w:rsidRPr="00A558C7">
        <w:rPr>
          <w:sz w:val="20"/>
          <w:szCs w:val="20"/>
        </w:rPr>
        <w:t>mln EUR</w:t>
      </w:r>
      <w:r w:rsidR="00A34AC0">
        <w:rPr>
          <w:sz w:val="20"/>
          <w:szCs w:val="20"/>
        </w:rPr>
        <w:t xml:space="preserve">. </w:t>
      </w:r>
    </w:p>
    <w:p w14:paraId="716EFC5C" w14:textId="77777777" w:rsidR="00F24EA4" w:rsidRDefault="00F24EA4" w:rsidP="00A34AC0">
      <w:pPr>
        <w:spacing w:after="0"/>
        <w:jc w:val="both"/>
        <w:rPr>
          <w:sz w:val="20"/>
          <w:szCs w:val="20"/>
        </w:rPr>
      </w:pPr>
    </w:p>
    <w:p w14:paraId="714A73DA" w14:textId="5F379D61" w:rsidR="00F24EA4" w:rsidRPr="003F4348" w:rsidRDefault="00F24EA4" w:rsidP="00F24EA4">
      <w:pPr>
        <w:spacing w:after="0"/>
        <w:jc w:val="both"/>
        <w:rPr>
          <w:b/>
          <w:sz w:val="24"/>
          <w:szCs w:val="24"/>
        </w:rPr>
      </w:pPr>
      <w:r w:rsidRPr="003F4348">
        <w:rPr>
          <w:b/>
          <w:sz w:val="24"/>
          <w:szCs w:val="24"/>
        </w:rPr>
        <w:t xml:space="preserve">Bartosz </w:t>
      </w:r>
      <w:proofErr w:type="spellStart"/>
      <w:r w:rsidRPr="003F4348">
        <w:rPr>
          <w:b/>
          <w:sz w:val="24"/>
          <w:szCs w:val="24"/>
        </w:rPr>
        <w:t>Krzesiak</w:t>
      </w:r>
      <w:proofErr w:type="spellEnd"/>
      <w:r w:rsidRPr="003F4348">
        <w:rPr>
          <w:b/>
          <w:sz w:val="24"/>
          <w:szCs w:val="24"/>
        </w:rPr>
        <w:t xml:space="preserve">, </w:t>
      </w:r>
      <w:r w:rsidR="009474E4">
        <w:rPr>
          <w:b/>
          <w:sz w:val="24"/>
          <w:szCs w:val="24"/>
        </w:rPr>
        <w:t>M</w:t>
      </w:r>
      <w:r w:rsidRPr="003F4348">
        <w:rPr>
          <w:b/>
          <w:sz w:val="24"/>
          <w:szCs w:val="24"/>
        </w:rPr>
        <w:t xml:space="preserve">anager </w:t>
      </w:r>
      <w:proofErr w:type="spellStart"/>
      <w:r w:rsidRPr="003F4348">
        <w:rPr>
          <w:b/>
          <w:sz w:val="24"/>
          <w:szCs w:val="24"/>
        </w:rPr>
        <w:t>Navigator</w:t>
      </w:r>
      <w:proofErr w:type="spellEnd"/>
      <w:r w:rsidRPr="003F4348">
        <w:rPr>
          <w:b/>
          <w:sz w:val="24"/>
          <w:szCs w:val="24"/>
        </w:rPr>
        <w:t xml:space="preserve"> Capital</w:t>
      </w:r>
    </w:p>
    <w:p w14:paraId="504B7146" w14:textId="77777777" w:rsidR="00F24EA4" w:rsidRPr="003F4348" w:rsidRDefault="00F24EA4" w:rsidP="00F24EA4">
      <w:pPr>
        <w:spacing w:after="0"/>
        <w:jc w:val="both"/>
        <w:rPr>
          <w:sz w:val="20"/>
          <w:szCs w:val="20"/>
        </w:rPr>
      </w:pPr>
    </w:p>
    <w:p w14:paraId="794566AA" w14:textId="79A6E8AB" w:rsidR="00F24EA4" w:rsidRDefault="00F24EA4" w:rsidP="00F24EA4">
      <w:pPr>
        <w:shd w:val="clear" w:color="auto" w:fill="FFFFFF"/>
        <w:jc w:val="both"/>
        <w:rPr>
          <w:rStyle w:val="Uwydatnienie"/>
          <w:rFonts w:cs="Arial"/>
          <w:i w:val="0"/>
          <w:iCs w:val="0"/>
          <w:color w:val="222222"/>
          <w:sz w:val="20"/>
          <w:szCs w:val="20"/>
        </w:rPr>
      </w:pPr>
      <w:r>
        <w:rPr>
          <w:rStyle w:val="Uwydatnienie"/>
          <w:rFonts w:cs="Arial"/>
          <w:i w:val="0"/>
          <w:iCs w:val="0"/>
          <w:color w:val="222222"/>
          <w:sz w:val="20"/>
          <w:szCs w:val="20"/>
        </w:rPr>
        <w:t xml:space="preserve">I kw. 2014 r. na GPW w Warszawie, podobnie jak na największych światowych rynkach, nie sprzyjał dynamicznym wzrostom kursów akcji. Indeks WIG zyskał w tym okresie 2,12%, amerykański S&amp;P500 zwiększył wartość o 1,30%, zaś niemiecki DAX wzrósł o symboliczne 0,04%. Przyczyn spowolnienia na warszawskim parkiecie należy upatrywać przede wszystkim w zmianach w systemie emerytalnym i obawach inwestorów o </w:t>
      </w:r>
      <w:r>
        <w:rPr>
          <w:rStyle w:val="Uwydatnienie"/>
          <w:rFonts w:cs="Arial"/>
          <w:i w:val="0"/>
          <w:iCs w:val="0"/>
          <w:color w:val="222222"/>
          <w:sz w:val="20"/>
          <w:szCs w:val="20"/>
        </w:rPr>
        <w:lastRenderedPageBreak/>
        <w:t>aktywa znajdujące się w OFE. Mimo faktu, iż z początkiem lutego 2014 r. OFE stały się faktycznie funduszami akcji (87% udział akcji w aktywach ogółem), to dzięki zmianie uwarunkowań instytucjonalnych zaczęły zdecydowanie śmielej lokować kapitał w aktywa zagraniczne, ograniczając tym samym działalność inwestycyjną na GPW. Przyczyniło się to</w:t>
      </w:r>
      <w:r>
        <w:rPr>
          <w:rStyle w:val="apple-converted-space"/>
          <w:rFonts w:cs="Arial"/>
          <w:color w:val="222222"/>
          <w:sz w:val="20"/>
          <w:szCs w:val="20"/>
        </w:rPr>
        <w:t> </w:t>
      </w:r>
      <w:r w:rsidR="009474E4" w:rsidRPr="003F4348">
        <w:t>m.in</w:t>
      </w:r>
      <w:r>
        <w:rPr>
          <w:rStyle w:val="Uwydatnienie"/>
          <w:rFonts w:cs="Arial"/>
          <w:i w:val="0"/>
          <w:iCs w:val="0"/>
          <w:color w:val="222222"/>
          <w:sz w:val="20"/>
          <w:szCs w:val="20"/>
        </w:rPr>
        <w:t>. do korekt kursów średnich i małych spółek.   </w:t>
      </w:r>
    </w:p>
    <w:p w14:paraId="40BC9DF7" w14:textId="31D137DE" w:rsidR="006F6CB8" w:rsidRDefault="008C212D" w:rsidP="00F24EA4">
      <w:pPr>
        <w:shd w:val="clear" w:color="auto" w:fill="FFFFFF"/>
        <w:jc w:val="both"/>
        <w:rPr>
          <w:rStyle w:val="Uwydatnienie"/>
          <w:rFonts w:cs="Arial"/>
          <w:i w:val="0"/>
          <w:iCs w:val="0"/>
          <w:color w:val="222222"/>
          <w:sz w:val="20"/>
          <w:szCs w:val="20"/>
        </w:rPr>
      </w:pPr>
      <w:r>
        <w:rPr>
          <w:rStyle w:val="Uwydatnienie"/>
          <w:rFonts w:cs="Arial"/>
          <w:i w:val="0"/>
          <w:iCs w:val="0"/>
          <w:color w:val="222222"/>
          <w:sz w:val="20"/>
          <w:szCs w:val="20"/>
        </w:rPr>
        <w:t xml:space="preserve">Jeżeli chodzi o rynek IPO, to </w:t>
      </w:r>
      <w:r w:rsidR="006F6CB8">
        <w:rPr>
          <w:rStyle w:val="Uwydatnienie"/>
          <w:rFonts w:cs="Arial"/>
          <w:i w:val="0"/>
          <w:iCs w:val="0"/>
          <w:color w:val="222222"/>
          <w:sz w:val="20"/>
          <w:szCs w:val="20"/>
        </w:rPr>
        <w:t xml:space="preserve">w I kw. 2014 r. na GPW zadebiutowało 5 spółek (3 z nich przeniosły notowania z rynku </w:t>
      </w:r>
      <w:proofErr w:type="spellStart"/>
      <w:r w:rsidR="006F6CB8">
        <w:rPr>
          <w:rStyle w:val="Uwydatnienie"/>
          <w:rFonts w:cs="Arial"/>
          <w:i w:val="0"/>
          <w:iCs w:val="0"/>
          <w:color w:val="222222"/>
          <w:sz w:val="20"/>
          <w:szCs w:val="20"/>
        </w:rPr>
        <w:t>NewConnect</w:t>
      </w:r>
      <w:proofErr w:type="spellEnd"/>
      <w:r w:rsidR="006F6CB8">
        <w:rPr>
          <w:rStyle w:val="Uwydatnienie"/>
          <w:rFonts w:cs="Arial"/>
          <w:i w:val="0"/>
          <w:iCs w:val="0"/>
          <w:color w:val="222222"/>
          <w:sz w:val="20"/>
          <w:szCs w:val="20"/>
        </w:rPr>
        <w:t>).</w:t>
      </w:r>
    </w:p>
    <w:p w14:paraId="49D45194" w14:textId="123D14C1" w:rsidR="00F24EA4" w:rsidRPr="00F24EA4" w:rsidRDefault="00F24EA4" w:rsidP="00F24EA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Liczba transakcji na rynku fuzji i przejęć w Polsce w I kw. 2014 r. była wyraźnie niższa niż w IV kw. 2013 r. Częściowo jest to związane z typową dla ostatniego kwartału roku wysoką liczbą transakcji, jednak wydaje się, że wiele potencjalnych akwizycji jest opóźnianych ze względu na niepewność panującą na światowych rynkach</w:t>
      </w:r>
      <w:r w:rsidR="008C212D">
        <w:rPr>
          <w:rFonts w:cs="Arial"/>
          <w:color w:val="222222"/>
          <w:sz w:val="20"/>
          <w:szCs w:val="20"/>
        </w:rPr>
        <w:t xml:space="preserve"> (m.in. niestabilna sytuacja polityczna na Ukrainie oraz w Rosji)</w:t>
      </w:r>
      <w:r>
        <w:rPr>
          <w:rFonts w:cs="Arial"/>
          <w:color w:val="222222"/>
          <w:sz w:val="20"/>
          <w:szCs w:val="20"/>
        </w:rPr>
        <w:t>.</w:t>
      </w:r>
      <w:r w:rsidR="00D663C1">
        <w:rPr>
          <w:rFonts w:cs="Arial"/>
          <w:color w:val="222222"/>
          <w:sz w:val="20"/>
          <w:szCs w:val="20"/>
        </w:rPr>
        <w:t xml:space="preserve"> Paradoksalnie średnia aktywność inwestorów na GPW może wesprzeć rynek M&amp;A. Zarówno przy sprzedaży spółek, jak i pozyskiwaniu kapitału należy spodziewać się większej aktywności przede wszystkim na rynku prywatnym przy większym udziale inwestorów strategicznych i branżowyc</w:t>
      </w:r>
      <w:r w:rsidR="008C212D">
        <w:rPr>
          <w:rFonts w:cs="Arial"/>
          <w:color w:val="222222"/>
          <w:sz w:val="20"/>
          <w:szCs w:val="20"/>
        </w:rPr>
        <w:t>h.</w:t>
      </w:r>
    </w:p>
    <w:p w14:paraId="0A25689E" w14:textId="00070DA5" w:rsidR="00A558C7" w:rsidRPr="00A558C7" w:rsidRDefault="00A558C7" w:rsidP="00A558C7">
      <w:pPr>
        <w:spacing w:after="0"/>
        <w:jc w:val="both"/>
        <w:rPr>
          <w:sz w:val="20"/>
          <w:szCs w:val="20"/>
        </w:rPr>
      </w:pPr>
    </w:p>
    <w:p w14:paraId="2E70E8A5" w14:textId="77777777" w:rsidR="00F24EA4" w:rsidRDefault="00F24EA4" w:rsidP="00F24EA4">
      <w:pPr>
        <w:spacing w:after="0"/>
        <w:jc w:val="both"/>
        <w:rPr>
          <w:sz w:val="20"/>
          <w:szCs w:val="20"/>
        </w:rPr>
      </w:pPr>
      <w:proofErr w:type="spellStart"/>
      <w:r w:rsidRPr="00802C9E">
        <w:rPr>
          <w:b/>
          <w:sz w:val="20"/>
          <w:szCs w:val="20"/>
        </w:rPr>
        <w:t>Datapoint</w:t>
      </w:r>
      <w:proofErr w:type="spellEnd"/>
      <w:r w:rsidRPr="00802C9E">
        <w:rPr>
          <w:sz w:val="20"/>
          <w:szCs w:val="20"/>
        </w:rPr>
        <w:t xml:space="preserve"> jest pionierem na polskim rynku kapitałowym, na </w:t>
      </w:r>
      <w:proofErr w:type="spellStart"/>
      <w:r w:rsidRPr="00802C9E">
        <w:rPr>
          <w:sz w:val="20"/>
          <w:szCs w:val="20"/>
        </w:rPr>
        <w:t>którym</w:t>
      </w:r>
      <w:proofErr w:type="spellEnd"/>
      <w:r w:rsidRPr="00802C9E">
        <w:rPr>
          <w:sz w:val="20"/>
          <w:szCs w:val="20"/>
        </w:rPr>
        <w:t xml:space="preserve"> w oparciu o technologię Virtual Data </w:t>
      </w:r>
      <w:proofErr w:type="spellStart"/>
      <w:r w:rsidRPr="00802C9E">
        <w:rPr>
          <w:sz w:val="20"/>
          <w:szCs w:val="20"/>
        </w:rPr>
        <w:t>Room</w:t>
      </w:r>
      <w:proofErr w:type="spellEnd"/>
      <w:r w:rsidRPr="00802C9E">
        <w:rPr>
          <w:sz w:val="20"/>
          <w:szCs w:val="20"/>
        </w:rPr>
        <w:t xml:space="preserve"> wspiera </w:t>
      </w:r>
      <w:proofErr w:type="spellStart"/>
      <w:r w:rsidRPr="00802C9E">
        <w:rPr>
          <w:sz w:val="20"/>
          <w:szCs w:val="20"/>
        </w:rPr>
        <w:t>największe</w:t>
      </w:r>
      <w:proofErr w:type="spellEnd"/>
      <w:r w:rsidRPr="00802C9E">
        <w:rPr>
          <w:sz w:val="20"/>
          <w:szCs w:val="20"/>
        </w:rPr>
        <w:t xml:space="preserve"> transakcje M&amp;A, IPO, inwestycje </w:t>
      </w:r>
      <w:proofErr w:type="spellStart"/>
      <w:r w:rsidRPr="00802C9E">
        <w:rPr>
          <w:sz w:val="20"/>
          <w:szCs w:val="20"/>
        </w:rPr>
        <w:t>Private</w:t>
      </w:r>
      <w:proofErr w:type="spellEnd"/>
      <w:r w:rsidRPr="00802C9E">
        <w:rPr>
          <w:sz w:val="20"/>
          <w:szCs w:val="20"/>
        </w:rPr>
        <w:t xml:space="preserve"> Equity i prywatyzacje, w Polsce oraz w innych krajach Europy </w:t>
      </w:r>
      <w:proofErr w:type="spellStart"/>
      <w:r w:rsidRPr="00802C9E">
        <w:rPr>
          <w:sz w:val="20"/>
          <w:szCs w:val="20"/>
        </w:rPr>
        <w:t>Środkowej</w:t>
      </w:r>
      <w:proofErr w:type="spellEnd"/>
      <w:r w:rsidRPr="00802C9E">
        <w:rPr>
          <w:sz w:val="20"/>
          <w:szCs w:val="20"/>
        </w:rPr>
        <w:t xml:space="preserve"> i Wschodniej.</w:t>
      </w:r>
      <w:r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Datapoint</w:t>
      </w:r>
      <w:proofErr w:type="spellEnd"/>
      <w:r w:rsidRPr="00802C9E"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podniósł</w:t>
      </w:r>
      <w:proofErr w:type="spellEnd"/>
      <w:r w:rsidRPr="00802C9E"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bezpieczeństwo</w:t>
      </w:r>
      <w:proofErr w:type="spellEnd"/>
      <w:r w:rsidRPr="00802C9E">
        <w:rPr>
          <w:sz w:val="20"/>
          <w:szCs w:val="20"/>
        </w:rPr>
        <w:t xml:space="preserve"> i </w:t>
      </w:r>
      <w:proofErr w:type="spellStart"/>
      <w:r w:rsidRPr="00802C9E">
        <w:rPr>
          <w:sz w:val="20"/>
          <w:szCs w:val="20"/>
        </w:rPr>
        <w:t>efektywnośc</w:t>
      </w:r>
      <w:proofErr w:type="spellEnd"/>
      <w:r w:rsidRPr="00802C9E">
        <w:rPr>
          <w:sz w:val="20"/>
          <w:szCs w:val="20"/>
        </w:rPr>
        <w:t xml:space="preserve">́ </w:t>
      </w:r>
      <w:proofErr w:type="spellStart"/>
      <w:r w:rsidRPr="00802C9E">
        <w:rPr>
          <w:sz w:val="20"/>
          <w:szCs w:val="20"/>
        </w:rPr>
        <w:t>projektów</w:t>
      </w:r>
      <w:proofErr w:type="spellEnd"/>
      <w:r w:rsidRPr="00802C9E">
        <w:rPr>
          <w:sz w:val="20"/>
          <w:szCs w:val="20"/>
        </w:rPr>
        <w:t xml:space="preserve"> o </w:t>
      </w:r>
      <w:proofErr w:type="spellStart"/>
      <w:r w:rsidRPr="00802C9E">
        <w:rPr>
          <w:sz w:val="20"/>
          <w:szCs w:val="20"/>
        </w:rPr>
        <w:t>łącznej</w:t>
      </w:r>
      <w:proofErr w:type="spellEnd"/>
      <w:r w:rsidRPr="00802C9E"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wartości</w:t>
      </w:r>
      <w:proofErr w:type="spellEnd"/>
      <w:r w:rsidRPr="00802C9E">
        <w:rPr>
          <w:sz w:val="20"/>
          <w:szCs w:val="20"/>
        </w:rPr>
        <w:t xml:space="preserve"> ponad 29 mld PLN.</w:t>
      </w:r>
      <w:r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Dążeniem</w:t>
      </w:r>
      <w:proofErr w:type="spellEnd"/>
      <w:r w:rsidRPr="00802C9E"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Datapoint</w:t>
      </w:r>
      <w:proofErr w:type="spellEnd"/>
      <w:r w:rsidRPr="00802C9E">
        <w:rPr>
          <w:sz w:val="20"/>
          <w:szCs w:val="20"/>
        </w:rPr>
        <w:t xml:space="preserve"> jest identyfikowanie potrzeb</w:t>
      </w:r>
      <w:r>
        <w:rPr>
          <w:sz w:val="20"/>
          <w:szCs w:val="20"/>
        </w:rPr>
        <w:t xml:space="preserve"> </w:t>
      </w:r>
      <w:r w:rsidRPr="00802C9E">
        <w:rPr>
          <w:sz w:val="20"/>
          <w:szCs w:val="20"/>
        </w:rPr>
        <w:t xml:space="preserve">w zakresie bezpiecznego </w:t>
      </w:r>
      <w:proofErr w:type="spellStart"/>
      <w:r w:rsidRPr="00802C9E">
        <w:rPr>
          <w:sz w:val="20"/>
          <w:szCs w:val="20"/>
        </w:rPr>
        <w:t>zarządzania</w:t>
      </w:r>
      <w:proofErr w:type="spellEnd"/>
      <w:r w:rsidRPr="00802C9E">
        <w:rPr>
          <w:sz w:val="20"/>
          <w:szCs w:val="20"/>
        </w:rPr>
        <w:t xml:space="preserve"> poufnymi dokumentami </w:t>
      </w:r>
      <w:proofErr w:type="spellStart"/>
      <w:r w:rsidRPr="00802C9E">
        <w:rPr>
          <w:sz w:val="20"/>
          <w:szCs w:val="20"/>
        </w:rPr>
        <w:t>wśród</w:t>
      </w:r>
      <w:proofErr w:type="spellEnd"/>
      <w:r w:rsidRPr="00802C9E">
        <w:rPr>
          <w:sz w:val="20"/>
          <w:szCs w:val="20"/>
        </w:rPr>
        <w:t xml:space="preserve"> konkretnych </w:t>
      </w:r>
      <w:proofErr w:type="spellStart"/>
      <w:r w:rsidRPr="00802C9E">
        <w:rPr>
          <w:sz w:val="20"/>
          <w:szCs w:val="20"/>
        </w:rPr>
        <w:t>branz</w:t>
      </w:r>
      <w:proofErr w:type="spellEnd"/>
      <w:r w:rsidRPr="00802C9E">
        <w:rPr>
          <w:sz w:val="20"/>
          <w:szCs w:val="20"/>
        </w:rPr>
        <w:t xml:space="preserve">̇ i zaspokajanie ich w oparciu o technologię Virtual Data </w:t>
      </w:r>
      <w:proofErr w:type="spellStart"/>
      <w:r w:rsidRPr="00802C9E">
        <w:rPr>
          <w:sz w:val="20"/>
          <w:szCs w:val="20"/>
        </w:rPr>
        <w:t>Room</w:t>
      </w:r>
      <w:proofErr w:type="spellEnd"/>
      <w:r w:rsidRPr="00802C9E">
        <w:rPr>
          <w:sz w:val="20"/>
          <w:szCs w:val="20"/>
        </w:rPr>
        <w:t>.</w:t>
      </w:r>
    </w:p>
    <w:p w14:paraId="650376F2" w14:textId="77777777" w:rsidR="00A174BC" w:rsidRDefault="00A174BC" w:rsidP="00F24EA4">
      <w:pPr>
        <w:spacing w:after="0"/>
        <w:jc w:val="both"/>
        <w:rPr>
          <w:sz w:val="20"/>
          <w:szCs w:val="20"/>
        </w:rPr>
      </w:pPr>
    </w:p>
    <w:p w14:paraId="10B9328A" w14:textId="4EF340A2" w:rsidR="00A174BC" w:rsidRPr="00A174BC" w:rsidRDefault="00A174BC" w:rsidP="00F24EA4">
      <w:pPr>
        <w:spacing w:after="0"/>
        <w:jc w:val="both"/>
        <w:rPr>
          <w:b/>
          <w:sz w:val="20"/>
          <w:szCs w:val="20"/>
        </w:rPr>
      </w:pPr>
      <w:r w:rsidRPr="00A174BC">
        <w:rPr>
          <w:b/>
          <w:sz w:val="20"/>
          <w:szCs w:val="20"/>
        </w:rPr>
        <w:t xml:space="preserve">We wrześniu 2014 r spółka zmieniła nazwę na FORDATA, więcej: </w:t>
      </w:r>
      <w:hyperlink r:id="rId9" w:history="1">
        <w:r w:rsidRPr="00A174BC">
          <w:rPr>
            <w:rStyle w:val="Hipercze"/>
            <w:b/>
            <w:sz w:val="20"/>
            <w:szCs w:val="20"/>
          </w:rPr>
          <w:t>www.fordata.pl</w:t>
        </w:r>
      </w:hyperlink>
    </w:p>
    <w:p w14:paraId="3C99C022" w14:textId="77777777" w:rsidR="00F24EA4" w:rsidRPr="00394EEE" w:rsidRDefault="00F24EA4" w:rsidP="00F24EA4">
      <w:pPr>
        <w:spacing w:after="0"/>
        <w:jc w:val="both"/>
        <w:rPr>
          <w:sz w:val="20"/>
          <w:szCs w:val="20"/>
        </w:rPr>
      </w:pPr>
    </w:p>
    <w:p w14:paraId="577CDD1F" w14:textId="30AE6C9D" w:rsidR="00802C9E" w:rsidRPr="00802C9E" w:rsidRDefault="00802C9E" w:rsidP="00802C9E">
      <w:pPr>
        <w:spacing w:after="0"/>
        <w:jc w:val="both"/>
        <w:rPr>
          <w:sz w:val="20"/>
          <w:szCs w:val="20"/>
        </w:rPr>
      </w:pPr>
      <w:proofErr w:type="spellStart"/>
      <w:r w:rsidRPr="00802C9E">
        <w:rPr>
          <w:b/>
          <w:sz w:val="20"/>
          <w:szCs w:val="20"/>
        </w:rPr>
        <w:t>Navigator</w:t>
      </w:r>
      <w:proofErr w:type="spellEnd"/>
      <w:r w:rsidRPr="00802C9E">
        <w:rPr>
          <w:b/>
          <w:sz w:val="20"/>
          <w:szCs w:val="20"/>
        </w:rPr>
        <w:t xml:space="preserve"> Capital wraz z Domem Maklerskim </w:t>
      </w:r>
      <w:proofErr w:type="spellStart"/>
      <w:r w:rsidRPr="00802C9E">
        <w:rPr>
          <w:b/>
          <w:sz w:val="20"/>
          <w:szCs w:val="20"/>
        </w:rPr>
        <w:t>Navigator</w:t>
      </w:r>
      <w:proofErr w:type="spellEnd"/>
      <w:r w:rsidRPr="00802C9E">
        <w:rPr>
          <w:sz w:val="20"/>
          <w:szCs w:val="20"/>
        </w:rPr>
        <w:t xml:space="preserve"> jest czołowym </w:t>
      </w:r>
      <w:proofErr w:type="spellStart"/>
      <w:r w:rsidRPr="00802C9E">
        <w:rPr>
          <w:sz w:val="20"/>
          <w:szCs w:val="20"/>
        </w:rPr>
        <w:t>niezależnym</w:t>
      </w:r>
      <w:proofErr w:type="spellEnd"/>
      <w:r w:rsidRPr="00802C9E">
        <w:rPr>
          <w:sz w:val="20"/>
          <w:szCs w:val="20"/>
        </w:rPr>
        <w:t xml:space="preserve"> doradcą finansowym dla </w:t>
      </w:r>
      <w:proofErr w:type="spellStart"/>
      <w:r w:rsidRPr="00802C9E">
        <w:rPr>
          <w:sz w:val="20"/>
          <w:szCs w:val="20"/>
        </w:rPr>
        <w:t>przedsiębiorstw</w:t>
      </w:r>
      <w:proofErr w:type="spellEnd"/>
      <w:r w:rsidR="006F6051">
        <w:rPr>
          <w:sz w:val="20"/>
          <w:szCs w:val="20"/>
        </w:rPr>
        <w:t>,</w:t>
      </w:r>
      <w:r w:rsidRPr="00802C9E"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specjalizującym</w:t>
      </w:r>
      <w:proofErr w:type="spellEnd"/>
      <w:r w:rsidRPr="00802C9E">
        <w:rPr>
          <w:sz w:val="20"/>
          <w:szCs w:val="20"/>
        </w:rPr>
        <w:t xml:space="preserve"> </w:t>
      </w:r>
      <w:proofErr w:type="spellStart"/>
      <w:r w:rsidRPr="00802C9E">
        <w:rPr>
          <w:sz w:val="20"/>
          <w:szCs w:val="20"/>
        </w:rPr>
        <w:t>sie</w:t>
      </w:r>
      <w:proofErr w:type="spellEnd"/>
      <w:r w:rsidRPr="00802C9E">
        <w:rPr>
          <w:sz w:val="20"/>
          <w:szCs w:val="20"/>
        </w:rPr>
        <w:t>̨ w transakcjach M&amp;A oraz publicznych i prywatnych emisjach akcji i obligacji.</w:t>
      </w:r>
      <w:r>
        <w:rPr>
          <w:sz w:val="20"/>
          <w:szCs w:val="20"/>
        </w:rPr>
        <w:t xml:space="preserve"> </w:t>
      </w:r>
      <w:r w:rsidRPr="00802C9E">
        <w:rPr>
          <w:sz w:val="20"/>
          <w:szCs w:val="20"/>
        </w:rPr>
        <w:t xml:space="preserve">W </w:t>
      </w:r>
      <w:proofErr w:type="spellStart"/>
      <w:r w:rsidRPr="00802C9E">
        <w:rPr>
          <w:sz w:val="20"/>
          <w:szCs w:val="20"/>
        </w:rPr>
        <w:t>ciągu</w:t>
      </w:r>
      <w:proofErr w:type="spellEnd"/>
      <w:r w:rsidRPr="00802C9E">
        <w:rPr>
          <w:sz w:val="20"/>
          <w:szCs w:val="20"/>
        </w:rPr>
        <w:t xml:space="preserve"> ostatnich lat </w:t>
      </w:r>
      <w:r w:rsidR="009474E4">
        <w:rPr>
          <w:sz w:val="20"/>
          <w:szCs w:val="20"/>
        </w:rPr>
        <w:t xml:space="preserve">Grupa </w:t>
      </w:r>
      <w:proofErr w:type="spellStart"/>
      <w:r w:rsidR="009474E4">
        <w:rPr>
          <w:sz w:val="20"/>
          <w:szCs w:val="20"/>
        </w:rPr>
        <w:t>Navigator</w:t>
      </w:r>
      <w:proofErr w:type="spellEnd"/>
      <w:r w:rsidR="009474E4">
        <w:rPr>
          <w:sz w:val="20"/>
          <w:szCs w:val="20"/>
        </w:rPr>
        <w:t xml:space="preserve"> zrealizowała</w:t>
      </w:r>
      <w:r w:rsidR="009474E4" w:rsidRPr="00802C9E">
        <w:rPr>
          <w:sz w:val="20"/>
          <w:szCs w:val="20"/>
        </w:rPr>
        <w:t xml:space="preserve"> </w:t>
      </w:r>
      <w:r w:rsidRPr="00802C9E">
        <w:rPr>
          <w:sz w:val="20"/>
          <w:szCs w:val="20"/>
        </w:rPr>
        <w:t xml:space="preserve">ponad </w:t>
      </w:r>
      <w:r w:rsidR="009474E4">
        <w:rPr>
          <w:sz w:val="20"/>
          <w:szCs w:val="20"/>
        </w:rPr>
        <w:t>3</w:t>
      </w:r>
      <w:r w:rsidRPr="00802C9E">
        <w:rPr>
          <w:sz w:val="20"/>
          <w:szCs w:val="20"/>
        </w:rPr>
        <w:t xml:space="preserve">0 transakcji </w:t>
      </w:r>
      <w:proofErr w:type="spellStart"/>
      <w:r w:rsidRPr="00802C9E">
        <w:rPr>
          <w:sz w:val="20"/>
          <w:szCs w:val="20"/>
        </w:rPr>
        <w:t>różnego</w:t>
      </w:r>
      <w:proofErr w:type="spellEnd"/>
      <w:r w:rsidRPr="00802C9E">
        <w:rPr>
          <w:sz w:val="20"/>
          <w:szCs w:val="20"/>
        </w:rPr>
        <w:t xml:space="preserve"> typu</w:t>
      </w:r>
      <w:r w:rsidR="009474E4">
        <w:rPr>
          <w:sz w:val="20"/>
          <w:szCs w:val="20"/>
        </w:rPr>
        <w:t>.</w:t>
      </w:r>
      <w:r w:rsidRPr="00802C9E">
        <w:rPr>
          <w:sz w:val="20"/>
          <w:szCs w:val="20"/>
        </w:rPr>
        <w:t xml:space="preserve"> </w:t>
      </w:r>
      <w:r w:rsidR="009474E4">
        <w:rPr>
          <w:sz w:val="20"/>
          <w:szCs w:val="20"/>
        </w:rPr>
        <w:t xml:space="preserve">Partnerzy </w:t>
      </w:r>
      <w:proofErr w:type="spellStart"/>
      <w:r w:rsidR="009474E4">
        <w:rPr>
          <w:sz w:val="20"/>
          <w:szCs w:val="20"/>
        </w:rPr>
        <w:t>Navigator</w:t>
      </w:r>
      <w:proofErr w:type="spellEnd"/>
      <w:r w:rsidR="009474E4">
        <w:rPr>
          <w:sz w:val="20"/>
          <w:szCs w:val="20"/>
        </w:rPr>
        <w:t xml:space="preserve"> przeprowadzili transakcje o łącznej wartości ponad 6 mld PLN. </w:t>
      </w:r>
      <w:proofErr w:type="spellStart"/>
      <w:r w:rsidRPr="00802C9E">
        <w:rPr>
          <w:sz w:val="20"/>
          <w:szCs w:val="20"/>
        </w:rPr>
        <w:t>Współpraca</w:t>
      </w:r>
      <w:proofErr w:type="spellEnd"/>
      <w:r w:rsidRPr="00802C9E">
        <w:rPr>
          <w:sz w:val="20"/>
          <w:szCs w:val="20"/>
        </w:rPr>
        <w:t xml:space="preserve"> z </w:t>
      </w:r>
      <w:proofErr w:type="spellStart"/>
      <w:r w:rsidRPr="00802C9E">
        <w:rPr>
          <w:sz w:val="20"/>
          <w:szCs w:val="20"/>
        </w:rPr>
        <w:t>międzynarodowa</w:t>
      </w:r>
      <w:proofErr w:type="spellEnd"/>
      <w:r w:rsidRPr="00802C9E">
        <w:rPr>
          <w:sz w:val="20"/>
          <w:szCs w:val="20"/>
        </w:rPr>
        <w:t xml:space="preserve">̨ </w:t>
      </w:r>
      <w:proofErr w:type="spellStart"/>
      <w:r w:rsidRPr="00802C9E">
        <w:rPr>
          <w:sz w:val="20"/>
          <w:szCs w:val="20"/>
        </w:rPr>
        <w:t>siecia</w:t>
      </w:r>
      <w:proofErr w:type="spellEnd"/>
      <w:r w:rsidRPr="00802C9E">
        <w:rPr>
          <w:sz w:val="20"/>
          <w:szCs w:val="20"/>
        </w:rPr>
        <w:t xml:space="preserve">̨ firm doradczych zrzeszonych pod szyldem </w:t>
      </w:r>
      <w:proofErr w:type="spellStart"/>
      <w:r w:rsidRPr="00802C9E">
        <w:rPr>
          <w:sz w:val="20"/>
          <w:szCs w:val="20"/>
        </w:rPr>
        <w:t>Pandion</w:t>
      </w:r>
      <w:proofErr w:type="spellEnd"/>
      <w:r w:rsidRPr="00802C9E">
        <w:rPr>
          <w:sz w:val="20"/>
          <w:szCs w:val="20"/>
        </w:rPr>
        <w:t xml:space="preserve"> Partners pozwala skutecznie </w:t>
      </w:r>
      <w:proofErr w:type="spellStart"/>
      <w:r w:rsidRPr="00802C9E">
        <w:rPr>
          <w:sz w:val="20"/>
          <w:szCs w:val="20"/>
        </w:rPr>
        <w:t>obsługiwac</w:t>
      </w:r>
      <w:proofErr w:type="spellEnd"/>
      <w:r w:rsidRPr="00802C9E">
        <w:rPr>
          <w:sz w:val="20"/>
          <w:szCs w:val="20"/>
        </w:rPr>
        <w:t xml:space="preserve">́ transakcje </w:t>
      </w:r>
      <w:proofErr w:type="spellStart"/>
      <w:r w:rsidRPr="00802C9E">
        <w:rPr>
          <w:sz w:val="20"/>
          <w:szCs w:val="20"/>
        </w:rPr>
        <w:t>międzynarodowe</w:t>
      </w:r>
      <w:proofErr w:type="spellEnd"/>
      <w:r w:rsidRPr="00802C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9474E4">
        <w:rPr>
          <w:sz w:val="20"/>
          <w:szCs w:val="20"/>
        </w:rPr>
        <w:t>Navigator</w:t>
      </w:r>
      <w:proofErr w:type="spellEnd"/>
      <w:r w:rsidR="009474E4">
        <w:rPr>
          <w:sz w:val="20"/>
          <w:szCs w:val="20"/>
        </w:rPr>
        <w:t xml:space="preserve"> Capital wraz z Domem Maklerskim </w:t>
      </w:r>
      <w:proofErr w:type="spellStart"/>
      <w:r w:rsidR="009474E4">
        <w:rPr>
          <w:sz w:val="20"/>
          <w:szCs w:val="20"/>
        </w:rPr>
        <w:t>Navigator</w:t>
      </w:r>
      <w:proofErr w:type="spellEnd"/>
      <w:r w:rsidR="009474E4">
        <w:rPr>
          <w:sz w:val="20"/>
          <w:szCs w:val="20"/>
        </w:rPr>
        <w:t xml:space="preserve"> zajmują wysokie pozycje w niezależnych rankingach oceniających aktywność podmiotów doradczych na rynku polskim.</w:t>
      </w:r>
    </w:p>
    <w:p w14:paraId="7F08379A" w14:textId="64ADF081" w:rsidR="00C15C31" w:rsidRDefault="00C15C31" w:rsidP="00A12DD2">
      <w:pPr>
        <w:spacing w:line="240" w:lineRule="auto"/>
        <w:jc w:val="both"/>
        <w:rPr>
          <w:sz w:val="20"/>
          <w:szCs w:val="20"/>
        </w:rPr>
      </w:pPr>
    </w:p>
    <w:p w14:paraId="50D412E9" w14:textId="28CEC60B" w:rsidR="00721187" w:rsidRDefault="00721187" w:rsidP="00721187">
      <w:pPr>
        <w:spacing w:line="240" w:lineRule="auto"/>
        <w:jc w:val="both"/>
        <w:rPr>
          <w:sz w:val="20"/>
          <w:szCs w:val="20"/>
        </w:rPr>
      </w:pPr>
      <w:r w:rsidRPr="00173637">
        <w:rPr>
          <w:b/>
          <w:sz w:val="20"/>
          <w:szCs w:val="20"/>
        </w:rPr>
        <w:t xml:space="preserve">Raport </w:t>
      </w:r>
      <w:r w:rsidR="00173637" w:rsidRPr="00173637">
        <w:rPr>
          <w:b/>
          <w:sz w:val="20"/>
          <w:szCs w:val="20"/>
        </w:rPr>
        <w:t>M&amp;A Index Poland</w:t>
      </w:r>
      <w:r w:rsidR="00173637">
        <w:rPr>
          <w:sz w:val="20"/>
          <w:szCs w:val="20"/>
        </w:rPr>
        <w:t xml:space="preserve"> </w:t>
      </w:r>
      <w:r>
        <w:rPr>
          <w:sz w:val="20"/>
          <w:szCs w:val="20"/>
        </w:rPr>
        <w:t>powstał jako podsumowanie najciekawszych</w:t>
      </w:r>
      <w:r w:rsidRPr="00721187">
        <w:rPr>
          <w:sz w:val="20"/>
          <w:szCs w:val="20"/>
        </w:rPr>
        <w:t xml:space="preserve"> transakcji M&amp;A, które miały mie</w:t>
      </w:r>
      <w:r>
        <w:rPr>
          <w:sz w:val="20"/>
          <w:szCs w:val="20"/>
        </w:rPr>
        <w:t>jsce w Polsce w pierwszym kwartale 2014 r</w:t>
      </w:r>
      <w:r w:rsidRPr="00721187">
        <w:rPr>
          <w:sz w:val="20"/>
          <w:szCs w:val="20"/>
        </w:rPr>
        <w:t xml:space="preserve">. Jest to kolejne opracowanie mające na celu pokazanie perspektywy polskiego rynku M&amp;A, z naciskiem </w:t>
      </w:r>
      <w:r>
        <w:rPr>
          <w:sz w:val="20"/>
          <w:szCs w:val="20"/>
        </w:rPr>
        <w:t xml:space="preserve">na opis najciekawszych transakcji oraz rodzących się trendów. </w:t>
      </w:r>
    </w:p>
    <w:p w14:paraId="1C68F64D" w14:textId="77777777" w:rsidR="00721187" w:rsidRDefault="00721187" w:rsidP="00A12DD2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B8B00D0" w14:textId="77777777" w:rsidR="00721187" w:rsidRPr="00A1116A" w:rsidRDefault="00721187" w:rsidP="00721187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A1116A">
        <w:rPr>
          <w:rFonts w:asciiTheme="minorHAnsi" w:hAnsiTheme="minorHAnsi"/>
          <w:b/>
          <w:sz w:val="20"/>
          <w:szCs w:val="20"/>
        </w:rPr>
        <w:t xml:space="preserve">Kontakt dla </w:t>
      </w:r>
      <w:proofErr w:type="spellStart"/>
      <w:r w:rsidRPr="00A1116A">
        <w:rPr>
          <w:rFonts w:asciiTheme="minorHAnsi" w:hAnsiTheme="minorHAnsi"/>
          <w:b/>
          <w:sz w:val="20"/>
          <w:szCs w:val="20"/>
        </w:rPr>
        <w:t>mediów</w:t>
      </w:r>
      <w:proofErr w:type="spellEnd"/>
      <w:r w:rsidRPr="00A1116A">
        <w:rPr>
          <w:rFonts w:asciiTheme="minorHAnsi" w:hAnsiTheme="minorHAnsi"/>
          <w:b/>
          <w:sz w:val="20"/>
          <w:szCs w:val="20"/>
        </w:rPr>
        <w:t>:</w:t>
      </w:r>
    </w:p>
    <w:p w14:paraId="2EAB0255" w14:textId="77777777" w:rsidR="00721187" w:rsidRPr="00A1116A" w:rsidRDefault="00721187" w:rsidP="00721187">
      <w:pPr>
        <w:spacing w:line="240" w:lineRule="auto"/>
        <w:rPr>
          <w:rFonts w:asciiTheme="minorHAnsi" w:hAnsiTheme="minorHAnsi"/>
          <w:sz w:val="20"/>
          <w:szCs w:val="20"/>
        </w:rPr>
      </w:pPr>
      <w:r w:rsidRPr="00A1116A">
        <w:rPr>
          <w:rFonts w:asciiTheme="minorHAnsi" w:hAnsiTheme="minorHAnsi"/>
          <w:sz w:val="20"/>
          <w:szCs w:val="20"/>
        </w:rPr>
        <w:t xml:space="preserve">Aleksandra </w:t>
      </w:r>
      <w:proofErr w:type="spellStart"/>
      <w:r w:rsidRPr="00A1116A">
        <w:rPr>
          <w:rFonts w:asciiTheme="minorHAnsi" w:hAnsiTheme="minorHAnsi"/>
          <w:sz w:val="20"/>
          <w:szCs w:val="20"/>
        </w:rPr>
        <w:t>Prusator</w:t>
      </w:r>
      <w:proofErr w:type="spellEnd"/>
      <w:r w:rsidRPr="00A1116A">
        <w:rPr>
          <w:rFonts w:asciiTheme="minorHAnsi" w:hAnsiTheme="minorHAnsi"/>
          <w:sz w:val="20"/>
          <w:szCs w:val="20"/>
        </w:rPr>
        <w:t xml:space="preserve">, e-mail: aleksandra.prusator@datapoint.pl </w:t>
      </w:r>
      <w:proofErr w:type="spellStart"/>
      <w:r w:rsidRPr="00A1116A">
        <w:rPr>
          <w:rFonts w:asciiTheme="minorHAnsi" w:hAnsiTheme="minorHAnsi"/>
          <w:sz w:val="20"/>
          <w:szCs w:val="20"/>
        </w:rPr>
        <w:t>tel</w:t>
      </w:r>
      <w:proofErr w:type="spellEnd"/>
      <w:r w:rsidRPr="00A1116A">
        <w:rPr>
          <w:rFonts w:asciiTheme="minorHAnsi" w:hAnsiTheme="minorHAnsi"/>
          <w:sz w:val="20"/>
          <w:szCs w:val="20"/>
        </w:rPr>
        <w:t>: 506 044 056</w:t>
      </w:r>
    </w:p>
    <w:p w14:paraId="71853764" w14:textId="77777777" w:rsidR="00721187" w:rsidRPr="00A1116A" w:rsidRDefault="00721187" w:rsidP="00721187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1116A">
        <w:rPr>
          <w:rFonts w:asciiTheme="minorHAnsi" w:hAnsiTheme="minorHAnsi"/>
          <w:sz w:val="20"/>
          <w:szCs w:val="20"/>
          <w:lang w:val="en-US"/>
        </w:rPr>
        <w:t>Beata</w:t>
      </w:r>
      <w:proofErr w:type="spellEnd"/>
      <w:r w:rsidRPr="00A1116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A1116A">
        <w:rPr>
          <w:rFonts w:asciiTheme="minorHAnsi" w:hAnsiTheme="minorHAnsi"/>
          <w:sz w:val="20"/>
          <w:szCs w:val="20"/>
          <w:lang w:val="en-US"/>
        </w:rPr>
        <w:t>Milewicz</w:t>
      </w:r>
      <w:proofErr w:type="spellEnd"/>
      <w:r w:rsidRPr="00A1116A">
        <w:rPr>
          <w:rFonts w:asciiTheme="minorHAnsi" w:hAnsiTheme="minorHAnsi"/>
          <w:sz w:val="20"/>
          <w:szCs w:val="20"/>
          <w:lang w:val="en-US"/>
        </w:rPr>
        <w:t xml:space="preserve">,  e-mail: beata.milewicz@secretservices.pl </w:t>
      </w:r>
      <w:proofErr w:type="spellStart"/>
      <w:r w:rsidRPr="00A1116A">
        <w:rPr>
          <w:rFonts w:asciiTheme="minorHAnsi" w:hAnsiTheme="minorHAnsi"/>
          <w:sz w:val="20"/>
          <w:szCs w:val="20"/>
          <w:lang w:val="en-US"/>
        </w:rPr>
        <w:t>tel</w:t>
      </w:r>
      <w:proofErr w:type="spellEnd"/>
      <w:r w:rsidRPr="00A1116A">
        <w:rPr>
          <w:rFonts w:asciiTheme="minorHAnsi" w:hAnsiTheme="minorHAnsi"/>
          <w:sz w:val="20"/>
          <w:szCs w:val="20"/>
          <w:lang w:val="en-US"/>
        </w:rPr>
        <w:t>: 508 051 138</w:t>
      </w:r>
    </w:p>
    <w:p w14:paraId="235D40C8" w14:textId="77777777" w:rsidR="00721187" w:rsidRPr="00F24EA4" w:rsidRDefault="00721187" w:rsidP="00A12DD2">
      <w:pPr>
        <w:spacing w:line="240" w:lineRule="auto"/>
        <w:jc w:val="both"/>
        <w:rPr>
          <w:sz w:val="20"/>
          <w:szCs w:val="20"/>
          <w:lang w:val="en-US"/>
        </w:rPr>
      </w:pPr>
    </w:p>
    <w:p w14:paraId="46124C99" w14:textId="77777777" w:rsidR="00F02861" w:rsidRPr="00F24EA4" w:rsidRDefault="00F02861" w:rsidP="00A12DD2">
      <w:pPr>
        <w:spacing w:line="240" w:lineRule="auto"/>
        <w:jc w:val="both"/>
        <w:rPr>
          <w:sz w:val="20"/>
          <w:szCs w:val="20"/>
          <w:lang w:val="en-US"/>
        </w:rPr>
      </w:pPr>
    </w:p>
    <w:sectPr w:rsidR="00F02861" w:rsidRPr="00F24EA4" w:rsidSect="0085713D">
      <w:headerReference w:type="default" r:id="rId10"/>
      <w:footerReference w:type="default" r:id="rId11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E738" w14:textId="77777777" w:rsidR="00405C5B" w:rsidRDefault="00405C5B" w:rsidP="00EB0585">
      <w:pPr>
        <w:spacing w:after="0" w:line="240" w:lineRule="auto"/>
      </w:pPr>
      <w:r>
        <w:separator/>
      </w:r>
    </w:p>
  </w:endnote>
  <w:endnote w:type="continuationSeparator" w:id="0">
    <w:p w14:paraId="0599A8CE" w14:textId="77777777" w:rsidR="00405C5B" w:rsidRDefault="00405C5B" w:rsidP="00E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FEEE" w14:textId="77777777" w:rsidR="00B71035" w:rsidRPr="009360A2" w:rsidRDefault="00B71035">
    <w:pPr>
      <w:pStyle w:val="Stopka"/>
      <w:jc w:val="right"/>
      <w:rPr>
        <w:rFonts w:ascii="Verdana" w:hAnsi="Verdana"/>
        <w:sz w:val="20"/>
      </w:rPr>
    </w:pPr>
    <w:r w:rsidRPr="009360A2">
      <w:rPr>
        <w:rFonts w:ascii="Verdana" w:hAnsi="Verdana"/>
        <w:sz w:val="20"/>
      </w:rPr>
      <w:t>www.datapoint.pl</w:t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18"/>
      </w:rPr>
      <w:t xml:space="preserve">Strona </w:t>
    </w:r>
    <w:r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PAGE</w:instrText>
    </w:r>
    <w:r w:rsidRPr="009360A2">
      <w:rPr>
        <w:rFonts w:ascii="Verdana" w:hAnsi="Verdana"/>
        <w:b/>
        <w:sz w:val="20"/>
        <w:szCs w:val="24"/>
      </w:rPr>
      <w:fldChar w:fldCharType="separate"/>
    </w:r>
    <w:r w:rsidR="00173637">
      <w:rPr>
        <w:rFonts w:ascii="Verdana" w:hAnsi="Verdana"/>
        <w:b/>
        <w:noProof/>
        <w:sz w:val="18"/>
      </w:rPr>
      <w:t>1</w:t>
    </w:r>
    <w:r w:rsidRPr="009360A2">
      <w:rPr>
        <w:rFonts w:ascii="Verdana" w:hAnsi="Verdana"/>
        <w:b/>
        <w:sz w:val="20"/>
        <w:szCs w:val="24"/>
      </w:rPr>
      <w:fldChar w:fldCharType="end"/>
    </w:r>
    <w:r w:rsidRPr="009360A2">
      <w:rPr>
        <w:rFonts w:ascii="Verdana" w:hAnsi="Verdana"/>
        <w:sz w:val="18"/>
      </w:rPr>
      <w:t xml:space="preserve"> z </w:t>
    </w:r>
    <w:r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NUMPAGES</w:instrText>
    </w:r>
    <w:r w:rsidRPr="009360A2">
      <w:rPr>
        <w:rFonts w:ascii="Verdana" w:hAnsi="Verdana"/>
        <w:b/>
        <w:sz w:val="20"/>
        <w:szCs w:val="24"/>
      </w:rPr>
      <w:fldChar w:fldCharType="separate"/>
    </w:r>
    <w:r w:rsidR="00173637">
      <w:rPr>
        <w:rFonts w:ascii="Verdana" w:hAnsi="Verdana"/>
        <w:b/>
        <w:noProof/>
        <w:sz w:val="18"/>
      </w:rPr>
      <w:t>2</w:t>
    </w:r>
    <w:r w:rsidRPr="009360A2">
      <w:rPr>
        <w:rFonts w:ascii="Verdana" w:hAnsi="Verdana"/>
        <w:b/>
        <w:sz w:val="20"/>
        <w:szCs w:val="24"/>
      </w:rPr>
      <w:fldChar w:fldCharType="end"/>
    </w:r>
  </w:p>
  <w:p w14:paraId="689AE92B" w14:textId="77777777" w:rsidR="00B71035" w:rsidRPr="009360A2" w:rsidRDefault="00B71035" w:rsidP="00D52404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D0467" w14:textId="77777777" w:rsidR="00405C5B" w:rsidRDefault="00405C5B" w:rsidP="00EB0585">
      <w:pPr>
        <w:spacing w:after="0" w:line="240" w:lineRule="auto"/>
      </w:pPr>
      <w:r>
        <w:separator/>
      </w:r>
    </w:p>
  </w:footnote>
  <w:footnote w:type="continuationSeparator" w:id="0">
    <w:p w14:paraId="236398B4" w14:textId="77777777" w:rsidR="00405C5B" w:rsidRDefault="00405C5B" w:rsidP="00EB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B229" w14:textId="77777777" w:rsidR="00B71035" w:rsidRDefault="00B71035" w:rsidP="0085713D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77876AA4" wp14:editId="21130E97">
          <wp:extent cx="233362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91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A4"/>
    <w:multiLevelType w:val="hybridMultilevel"/>
    <w:tmpl w:val="B1EA148C"/>
    <w:lvl w:ilvl="0" w:tplc="730ABD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38F"/>
    <w:multiLevelType w:val="hybridMultilevel"/>
    <w:tmpl w:val="334AFB12"/>
    <w:lvl w:ilvl="0" w:tplc="F7041C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AEA"/>
    <w:multiLevelType w:val="hybridMultilevel"/>
    <w:tmpl w:val="2F8C8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13F55"/>
    <w:multiLevelType w:val="hybridMultilevel"/>
    <w:tmpl w:val="C4487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876AB"/>
    <w:multiLevelType w:val="hybridMultilevel"/>
    <w:tmpl w:val="9D845FEE"/>
    <w:lvl w:ilvl="0" w:tplc="2076B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48F2"/>
    <w:multiLevelType w:val="hybridMultilevel"/>
    <w:tmpl w:val="7CD69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5"/>
    <w:rsid w:val="00001033"/>
    <w:rsid w:val="000025D6"/>
    <w:rsid w:val="00011264"/>
    <w:rsid w:val="000161EE"/>
    <w:rsid w:val="00016A45"/>
    <w:rsid w:val="000229F1"/>
    <w:rsid w:val="0002349E"/>
    <w:rsid w:val="00023B7A"/>
    <w:rsid w:val="00033E8E"/>
    <w:rsid w:val="0003695E"/>
    <w:rsid w:val="000371D4"/>
    <w:rsid w:val="00042888"/>
    <w:rsid w:val="000509BC"/>
    <w:rsid w:val="00054A8C"/>
    <w:rsid w:val="00056160"/>
    <w:rsid w:val="00061FD5"/>
    <w:rsid w:val="00062FC0"/>
    <w:rsid w:val="00067831"/>
    <w:rsid w:val="000736FA"/>
    <w:rsid w:val="00076D86"/>
    <w:rsid w:val="000819F7"/>
    <w:rsid w:val="0008707E"/>
    <w:rsid w:val="00087701"/>
    <w:rsid w:val="000907F1"/>
    <w:rsid w:val="00092B9D"/>
    <w:rsid w:val="0009300B"/>
    <w:rsid w:val="00096164"/>
    <w:rsid w:val="000972D8"/>
    <w:rsid w:val="000A399A"/>
    <w:rsid w:val="000A60E8"/>
    <w:rsid w:val="000B0F86"/>
    <w:rsid w:val="000B2CFF"/>
    <w:rsid w:val="000B4F15"/>
    <w:rsid w:val="000B51FD"/>
    <w:rsid w:val="000B60E0"/>
    <w:rsid w:val="000B63AB"/>
    <w:rsid w:val="000C72FD"/>
    <w:rsid w:val="000D7FD4"/>
    <w:rsid w:val="000E1EE9"/>
    <w:rsid w:val="000E266E"/>
    <w:rsid w:val="000E30F2"/>
    <w:rsid w:val="00102771"/>
    <w:rsid w:val="0010554C"/>
    <w:rsid w:val="0010694B"/>
    <w:rsid w:val="00113A02"/>
    <w:rsid w:val="00115A52"/>
    <w:rsid w:val="00116E00"/>
    <w:rsid w:val="00122FC1"/>
    <w:rsid w:val="001268DE"/>
    <w:rsid w:val="0012696A"/>
    <w:rsid w:val="00137498"/>
    <w:rsid w:val="00137AAA"/>
    <w:rsid w:val="00140B83"/>
    <w:rsid w:val="001432F3"/>
    <w:rsid w:val="0014442E"/>
    <w:rsid w:val="001478B3"/>
    <w:rsid w:val="00150AAA"/>
    <w:rsid w:val="00156631"/>
    <w:rsid w:val="00157065"/>
    <w:rsid w:val="001617D8"/>
    <w:rsid w:val="00162F61"/>
    <w:rsid w:val="00172E0C"/>
    <w:rsid w:val="00173637"/>
    <w:rsid w:val="00194AF5"/>
    <w:rsid w:val="001A30E3"/>
    <w:rsid w:val="001A4738"/>
    <w:rsid w:val="001A48CA"/>
    <w:rsid w:val="001B7EFC"/>
    <w:rsid w:val="001C14FE"/>
    <w:rsid w:val="001C1771"/>
    <w:rsid w:val="001C1790"/>
    <w:rsid w:val="001C18A9"/>
    <w:rsid w:val="001D03BB"/>
    <w:rsid w:val="001D2E51"/>
    <w:rsid w:val="001D4A1E"/>
    <w:rsid w:val="001E00F4"/>
    <w:rsid w:val="001E3A5F"/>
    <w:rsid w:val="001F1A48"/>
    <w:rsid w:val="001F2554"/>
    <w:rsid w:val="002016D1"/>
    <w:rsid w:val="002044CF"/>
    <w:rsid w:val="00213543"/>
    <w:rsid w:val="0023065C"/>
    <w:rsid w:val="0023784F"/>
    <w:rsid w:val="00257418"/>
    <w:rsid w:val="00261CAD"/>
    <w:rsid w:val="0026566D"/>
    <w:rsid w:val="00267269"/>
    <w:rsid w:val="00271488"/>
    <w:rsid w:val="00272879"/>
    <w:rsid w:val="002749EB"/>
    <w:rsid w:val="0028025A"/>
    <w:rsid w:val="00281CE4"/>
    <w:rsid w:val="00285496"/>
    <w:rsid w:val="00293084"/>
    <w:rsid w:val="002A0476"/>
    <w:rsid w:val="002A2652"/>
    <w:rsid w:val="002A6F13"/>
    <w:rsid w:val="002B34DA"/>
    <w:rsid w:val="002B4059"/>
    <w:rsid w:val="002B6054"/>
    <w:rsid w:val="002C050F"/>
    <w:rsid w:val="002C650D"/>
    <w:rsid w:val="002C66C7"/>
    <w:rsid w:val="002C6A85"/>
    <w:rsid w:val="002D4DDA"/>
    <w:rsid w:val="002D61BC"/>
    <w:rsid w:val="002E05E4"/>
    <w:rsid w:val="002E0A5D"/>
    <w:rsid w:val="002E391B"/>
    <w:rsid w:val="002E59D2"/>
    <w:rsid w:val="002F0662"/>
    <w:rsid w:val="002F162D"/>
    <w:rsid w:val="002F39F9"/>
    <w:rsid w:val="002F44A0"/>
    <w:rsid w:val="00303BE3"/>
    <w:rsid w:val="00305BC5"/>
    <w:rsid w:val="00347014"/>
    <w:rsid w:val="00351B81"/>
    <w:rsid w:val="00357529"/>
    <w:rsid w:val="003735EC"/>
    <w:rsid w:val="00386B0D"/>
    <w:rsid w:val="0039023E"/>
    <w:rsid w:val="0039026C"/>
    <w:rsid w:val="003904E7"/>
    <w:rsid w:val="00391964"/>
    <w:rsid w:val="00394C61"/>
    <w:rsid w:val="00394EEE"/>
    <w:rsid w:val="0039505C"/>
    <w:rsid w:val="003A037A"/>
    <w:rsid w:val="003A280B"/>
    <w:rsid w:val="003A5C8D"/>
    <w:rsid w:val="003B6633"/>
    <w:rsid w:val="003C1587"/>
    <w:rsid w:val="003C3698"/>
    <w:rsid w:val="003C3DE9"/>
    <w:rsid w:val="003D532E"/>
    <w:rsid w:val="003D5C30"/>
    <w:rsid w:val="003E2BC7"/>
    <w:rsid w:val="003E2ED9"/>
    <w:rsid w:val="003E6E4D"/>
    <w:rsid w:val="003E7E4F"/>
    <w:rsid w:val="003F1B58"/>
    <w:rsid w:val="003F3487"/>
    <w:rsid w:val="003F35CE"/>
    <w:rsid w:val="003F4348"/>
    <w:rsid w:val="00405C5B"/>
    <w:rsid w:val="0041199E"/>
    <w:rsid w:val="004124BB"/>
    <w:rsid w:val="0041510C"/>
    <w:rsid w:val="0041518E"/>
    <w:rsid w:val="00421D1C"/>
    <w:rsid w:val="00423A0D"/>
    <w:rsid w:val="00424A3C"/>
    <w:rsid w:val="00425185"/>
    <w:rsid w:val="00425D18"/>
    <w:rsid w:val="004359BC"/>
    <w:rsid w:val="00437B34"/>
    <w:rsid w:val="00437F0C"/>
    <w:rsid w:val="00441D16"/>
    <w:rsid w:val="00441E4D"/>
    <w:rsid w:val="0044585D"/>
    <w:rsid w:val="00445CF1"/>
    <w:rsid w:val="0044602B"/>
    <w:rsid w:val="00453308"/>
    <w:rsid w:val="00462A85"/>
    <w:rsid w:val="00463C70"/>
    <w:rsid w:val="00464594"/>
    <w:rsid w:val="0047371F"/>
    <w:rsid w:val="00473DB9"/>
    <w:rsid w:val="00474CC3"/>
    <w:rsid w:val="004777A1"/>
    <w:rsid w:val="00477C61"/>
    <w:rsid w:val="00482154"/>
    <w:rsid w:val="00484A24"/>
    <w:rsid w:val="00491D85"/>
    <w:rsid w:val="004964B6"/>
    <w:rsid w:val="004B3488"/>
    <w:rsid w:val="004C6248"/>
    <w:rsid w:val="004C6BE9"/>
    <w:rsid w:val="004D272D"/>
    <w:rsid w:val="004D29AA"/>
    <w:rsid w:val="004D5E89"/>
    <w:rsid w:val="004D5E8B"/>
    <w:rsid w:val="004E76A5"/>
    <w:rsid w:val="004E7BC9"/>
    <w:rsid w:val="004F0CB5"/>
    <w:rsid w:val="004F2EDA"/>
    <w:rsid w:val="004F4436"/>
    <w:rsid w:val="005074E8"/>
    <w:rsid w:val="00511F29"/>
    <w:rsid w:val="005135B8"/>
    <w:rsid w:val="005158B3"/>
    <w:rsid w:val="005208D2"/>
    <w:rsid w:val="0052381D"/>
    <w:rsid w:val="00531AD0"/>
    <w:rsid w:val="00535BE8"/>
    <w:rsid w:val="00536CD7"/>
    <w:rsid w:val="005417B3"/>
    <w:rsid w:val="00545CCD"/>
    <w:rsid w:val="00546D53"/>
    <w:rsid w:val="00551880"/>
    <w:rsid w:val="00551B5D"/>
    <w:rsid w:val="00554AA1"/>
    <w:rsid w:val="0055634A"/>
    <w:rsid w:val="00565982"/>
    <w:rsid w:val="005662BF"/>
    <w:rsid w:val="00570ECC"/>
    <w:rsid w:val="00580E18"/>
    <w:rsid w:val="00581C98"/>
    <w:rsid w:val="00583A7A"/>
    <w:rsid w:val="00586452"/>
    <w:rsid w:val="00587388"/>
    <w:rsid w:val="0058740B"/>
    <w:rsid w:val="00590314"/>
    <w:rsid w:val="00590C92"/>
    <w:rsid w:val="005922C3"/>
    <w:rsid w:val="00595824"/>
    <w:rsid w:val="005959F3"/>
    <w:rsid w:val="00596198"/>
    <w:rsid w:val="005B363D"/>
    <w:rsid w:val="005B4CB8"/>
    <w:rsid w:val="005C25D3"/>
    <w:rsid w:val="005C3AEE"/>
    <w:rsid w:val="005C563E"/>
    <w:rsid w:val="005C77C8"/>
    <w:rsid w:val="005D1FD0"/>
    <w:rsid w:val="005D2CB7"/>
    <w:rsid w:val="005D3BE4"/>
    <w:rsid w:val="005D4132"/>
    <w:rsid w:val="005F01E0"/>
    <w:rsid w:val="005F119B"/>
    <w:rsid w:val="005F2379"/>
    <w:rsid w:val="005F4A92"/>
    <w:rsid w:val="005F5F3C"/>
    <w:rsid w:val="00601EBF"/>
    <w:rsid w:val="00605DA4"/>
    <w:rsid w:val="00607056"/>
    <w:rsid w:val="0061152E"/>
    <w:rsid w:val="0061286F"/>
    <w:rsid w:val="00616AE6"/>
    <w:rsid w:val="0063010C"/>
    <w:rsid w:val="00630D07"/>
    <w:rsid w:val="00633C0E"/>
    <w:rsid w:val="00634F90"/>
    <w:rsid w:val="0064169A"/>
    <w:rsid w:val="006461E3"/>
    <w:rsid w:val="00656C90"/>
    <w:rsid w:val="006607BB"/>
    <w:rsid w:val="00664D27"/>
    <w:rsid w:val="00670350"/>
    <w:rsid w:val="00680E9F"/>
    <w:rsid w:val="00691BC3"/>
    <w:rsid w:val="00693598"/>
    <w:rsid w:val="006962E7"/>
    <w:rsid w:val="006B2239"/>
    <w:rsid w:val="006C0F2B"/>
    <w:rsid w:val="006C1477"/>
    <w:rsid w:val="006C1CC6"/>
    <w:rsid w:val="006C79EB"/>
    <w:rsid w:val="006D33D8"/>
    <w:rsid w:val="006E2A8E"/>
    <w:rsid w:val="006E34AD"/>
    <w:rsid w:val="006E6756"/>
    <w:rsid w:val="006E7FBD"/>
    <w:rsid w:val="006F5404"/>
    <w:rsid w:val="006F6051"/>
    <w:rsid w:val="006F6CB8"/>
    <w:rsid w:val="00702B05"/>
    <w:rsid w:val="007039ED"/>
    <w:rsid w:val="00704E02"/>
    <w:rsid w:val="00713294"/>
    <w:rsid w:val="0072097F"/>
    <w:rsid w:val="00721187"/>
    <w:rsid w:val="007231D9"/>
    <w:rsid w:val="0072764B"/>
    <w:rsid w:val="00733E82"/>
    <w:rsid w:val="00734724"/>
    <w:rsid w:val="0073505F"/>
    <w:rsid w:val="0073751F"/>
    <w:rsid w:val="0074585B"/>
    <w:rsid w:val="00745F93"/>
    <w:rsid w:val="00757599"/>
    <w:rsid w:val="007630C6"/>
    <w:rsid w:val="00773C15"/>
    <w:rsid w:val="0078057D"/>
    <w:rsid w:val="00783E9D"/>
    <w:rsid w:val="0078458F"/>
    <w:rsid w:val="0078485E"/>
    <w:rsid w:val="00784ACA"/>
    <w:rsid w:val="007862FA"/>
    <w:rsid w:val="007866CE"/>
    <w:rsid w:val="00792932"/>
    <w:rsid w:val="007A0F86"/>
    <w:rsid w:val="007A1CBD"/>
    <w:rsid w:val="007A3C94"/>
    <w:rsid w:val="007A4B29"/>
    <w:rsid w:val="007A4D31"/>
    <w:rsid w:val="007A786E"/>
    <w:rsid w:val="007C176C"/>
    <w:rsid w:val="007C2E3F"/>
    <w:rsid w:val="007D4E4A"/>
    <w:rsid w:val="007E1221"/>
    <w:rsid w:val="007E7824"/>
    <w:rsid w:val="007F40E6"/>
    <w:rsid w:val="007F60B7"/>
    <w:rsid w:val="007F6991"/>
    <w:rsid w:val="007F75D0"/>
    <w:rsid w:val="008022F2"/>
    <w:rsid w:val="00802643"/>
    <w:rsid w:val="00802BEA"/>
    <w:rsid w:val="00802C9E"/>
    <w:rsid w:val="00805B85"/>
    <w:rsid w:val="00811CF9"/>
    <w:rsid w:val="00812422"/>
    <w:rsid w:val="00812D5D"/>
    <w:rsid w:val="0082182A"/>
    <w:rsid w:val="00822A33"/>
    <w:rsid w:val="00824156"/>
    <w:rsid w:val="00830122"/>
    <w:rsid w:val="008309B8"/>
    <w:rsid w:val="008317B7"/>
    <w:rsid w:val="00843DDF"/>
    <w:rsid w:val="00847BFA"/>
    <w:rsid w:val="00851A8E"/>
    <w:rsid w:val="00851BCA"/>
    <w:rsid w:val="0085713D"/>
    <w:rsid w:val="00861578"/>
    <w:rsid w:val="00863EDD"/>
    <w:rsid w:val="00866BD8"/>
    <w:rsid w:val="00874283"/>
    <w:rsid w:val="00875112"/>
    <w:rsid w:val="008817F5"/>
    <w:rsid w:val="00882F12"/>
    <w:rsid w:val="0089226B"/>
    <w:rsid w:val="008A0BD4"/>
    <w:rsid w:val="008A1FDF"/>
    <w:rsid w:val="008A34EF"/>
    <w:rsid w:val="008A55C7"/>
    <w:rsid w:val="008B08A4"/>
    <w:rsid w:val="008B3579"/>
    <w:rsid w:val="008B50DB"/>
    <w:rsid w:val="008B5783"/>
    <w:rsid w:val="008B58C2"/>
    <w:rsid w:val="008C212D"/>
    <w:rsid w:val="008C239F"/>
    <w:rsid w:val="008C39D2"/>
    <w:rsid w:val="008C4422"/>
    <w:rsid w:val="008C61E6"/>
    <w:rsid w:val="008C7271"/>
    <w:rsid w:val="008D22B9"/>
    <w:rsid w:val="008D3740"/>
    <w:rsid w:val="008D68AD"/>
    <w:rsid w:val="008E060D"/>
    <w:rsid w:val="008E0FE2"/>
    <w:rsid w:val="008E3CB1"/>
    <w:rsid w:val="008E753D"/>
    <w:rsid w:val="008F1A67"/>
    <w:rsid w:val="008F51D6"/>
    <w:rsid w:val="0090119C"/>
    <w:rsid w:val="00903B5F"/>
    <w:rsid w:val="00920C54"/>
    <w:rsid w:val="00931D48"/>
    <w:rsid w:val="009354D4"/>
    <w:rsid w:val="009360A2"/>
    <w:rsid w:val="009474E4"/>
    <w:rsid w:val="00952734"/>
    <w:rsid w:val="00953555"/>
    <w:rsid w:val="00963637"/>
    <w:rsid w:val="009741CE"/>
    <w:rsid w:val="009743F4"/>
    <w:rsid w:val="00975319"/>
    <w:rsid w:val="009808F5"/>
    <w:rsid w:val="0098185A"/>
    <w:rsid w:val="009821CD"/>
    <w:rsid w:val="00984086"/>
    <w:rsid w:val="00984B81"/>
    <w:rsid w:val="009A04B6"/>
    <w:rsid w:val="009A05F5"/>
    <w:rsid w:val="009A0E84"/>
    <w:rsid w:val="009B1C96"/>
    <w:rsid w:val="009B493D"/>
    <w:rsid w:val="009B772E"/>
    <w:rsid w:val="009B7BB4"/>
    <w:rsid w:val="009C1F24"/>
    <w:rsid w:val="009C3244"/>
    <w:rsid w:val="009C7ABC"/>
    <w:rsid w:val="009D1A92"/>
    <w:rsid w:val="009D3749"/>
    <w:rsid w:val="009E4125"/>
    <w:rsid w:val="009E7264"/>
    <w:rsid w:val="009F3912"/>
    <w:rsid w:val="00A00A3E"/>
    <w:rsid w:val="00A00E53"/>
    <w:rsid w:val="00A01B2C"/>
    <w:rsid w:val="00A06A0E"/>
    <w:rsid w:val="00A101A9"/>
    <w:rsid w:val="00A10E87"/>
    <w:rsid w:val="00A12DD2"/>
    <w:rsid w:val="00A15342"/>
    <w:rsid w:val="00A1713D"/>
    <w:rsid w:val="00A174BC"/>
    <w:rsid w:val="00A1796C"/>
    <w:rsid w:val="00A23933"/>
    <w:rsid w:val="00A245C3"/>
    <w:rsid w:val="00A32F7A"/>
    <w:rsid w:val="00A3319F"/>
    <w:rsid w:val="00A33D22"/>
    <w:rsid w:val="00A34AC0"/>
    <w:rsid w:val="00A40920"/>
    <w:rsid w:val="00A5174C"/>
    <w:rsid w:val="00A555A2"/>
    <w:rsid w:val="00A558C7"/>
    <w:rsid w:val="00A56434"/>
    <w:rsid w:val="00A5705C"/>
    <w:rsid w:val="00A610D7"/>
    <w:rsid w:val="00A64AFE"/>
    <w:rsid w:val="00A6668D"/>
    <w:rsid w:val="00A722AA"/>
    <w:rsid w:val="00A72BD6"/>
    <w:rsid w:val="00A757FE"/>
    <w:rsid w:val="00A75840"/>
    <w:rsid w:val="00A84A26"/>
    <w:rsid w:val="00A911D8"/>
    <w:rsid w:val="00A94758"/>
    <w:rsid w:val="00AA27FF"/>
    <w:rsid w:val="00AA59E1"/>
    <w:rsid w:val="00AA77FB"/>
    <w:rsid w:val="00AB1E5C"/>
    <w:rsid w:val="00AB7E1D"/>
    <w:rsid w:val="00AC0F8E"/>
    <w:rsid w:val="00AC4E4C"/>
    <w:rsid w:val="00AC5D18"/>
    <w:rsid w:val="00AC6087"/>
    <w:rsid w:val="00AD14D1"/>
    <w:rsid w:val="00AD16A4"/>
    <w:rsid w:val="00AD2FB9"/>
    <w:rsid w:val="00AE3F83"/>
    <w:rsid w:val="00AE67F4"/>
    <w:rsid w:val="00AE6D13"/>
    <w:rsid w:val="00B00B9E"/>
    <w:rsid w:val="00B1565A"/>
    <w:rsid w:val="00B2110A"/>
    <w:rsid w:val="00B32DC2"/>
    <w:rsid w:val="00B34E17"/>
    <w:rsid w:val="00B36B35"/>
    <w:rsid w:val="00B37F7C"/>
    <w:rsid w:val="00B405C7"/>
    <w:rsid w:val="00B40F68"/>
    <w:rsid w:val="00B41851"/>
    <w:rsid w:val="00B428D0"/>
    <w:rsid w:val="00B446C1"/>
    <w:rsid w:val="00B45242"/>
    <w:rsid w:val="00B45AB8"/>
    <w:rsid w:val="00B5379B"/>
    <w:rsid w:val="00B66E16"/>
    <w:rsid w:val="00B71035"/>
    <w:rsid w:val="00B761C0"/>
    <w:rsid w:val="00B77E65"/>
    <w:rsid w:val="00B8216F"/>
    <w:rsid w:val="00B878CC"/>
    <w:rsid w:val="00B9034D"/>
    <w:rsid w:val="00B962D0"/>
    <w:rsid w:val="00B96C9F"/>
    <w:rsid w:val="00BA2A07"/>
    <w:rsid w:val="00BB03D4"/>
    <w:rsid w:val="00BB28F4"/>
    <w:rsid w:val="00BB6ABB"/>
    <w:rsid w:val="00BB7E7A"/>
    <w:rsid w:val="00BC0953"/>
    <w:rsid w:val="00BD4288"/>
    <w:rsid w:val="00BD4490"/>
    <w:rsid w:val="00BE1945"/>
    <w:rsid w:val="00BE5DC1"/>
    <w:rsid w:val="00BF3D96"/>
    <w:rsid w:val="00C021A6"/>
    <w:rsid w:val="00C05D6C"/>
    <w:rsid w:val="00C06180"/>
    <w:rsid w:val="00C1428F"/>
    <w:rsid w:val="00C15C31"/>
    <w:rsid w:val="00C20214"/>
    <w:rsid w:val="00C21453"/>
    <w:rsid w:val="00C227FC"/>
    <w:rsid w:val="00C25A7F"/>
    <w:rsid w:val="00C27FD2"/>
    <w:rsid w:val="00C331D6"/>
    <w:rsid w:val="00C34FB5"/>
    <w:rsid w:val="00C3575B"/>
    <w:rsid w:val="00C37F52"/>
    <w:rsid w:val="00C4096C"/>
    <w:rsid w:val="00C43C70"/>
    <w:rsid w:val="00C4655F"/>
    <w:rsid w:val="00C46F44"/>
    <w:rsid w:val="00C52D9C"/>
    <w:rsid w:val="00C5347A"/>
    <w:rsid w:val="00C552F0"/>
    <w:rsid w:val="00C75AD0"/>
    <w:rsid w:val="00C8282A"/>
    <w:rsid w:val="00C8293D"/>
    <w:rsid w:val="00C83EBF"/>
    <w:rsid w:val="00C84DF3"/>
    <w:rsid w:val="00C919F6"/>
    <w:rsid w:val="00C925E4"/>
    <w:rsid w:val="00C94080"/>
    <w:rsid w:val="00CA0387"/>
    <w:rsid w:val="00CA3EF9"/>
    <w:rsid w:val="00CA6701"/>
    <w:rsid w:val="00CC1203"/>
    <w:rsid w:val="00CD008C"/>
    <w:rsid w:val="00CD04A9"/>
    <w:rsid w:val="00CD2848"/>
    <w:rsid w:val="00CF3C71"/>
    <w:rsid w:val="00CF3D46"/>
    <w:rsid w:val="00CF795C"/>
    <w:rsid w:val="00D00FA1"/>
    <w:rsid w:val="00D07941"/>
    <w:rsid w:val="00D11F0B"/>
    <w:rsid w:val="00D13C05"/>
    <w:rsid w:val="00D14C9E"/>
    <w:rsid w:val="00D238A1"/>
    <w:rsid w:val="00D267B2"/>
    <w:rsid w:val="00D3195F"/>
    <w:rsid w:val="00D347FE"/>
    <w:rsid w:val="00D36C4B"/>
    <w:rsid w:val="00D37E07"/>
    <w:rsid w:val="00D41B6A"/>
    <w:rsid w:val="00D46CBC"/>
    <w:rsid w:val="00D50CD4"/>
    <w:rsid w:val="00D52404"/>
    <w:rsid w:val="00D534FB"/>
    <w:rsid w:val="00D5406A"/>
    <w:rsid w:val="00D56533"/>
    <w:rsid w:val="00D6095B"/>
    <w:rsid w:val="00D60C88"/>
    <w:rsid w:val="00D62BBF"/>
    <w:rsid w:val="00D636A2"/>
    <w:rsid w:val="00D6446A"/>
    <w:rsid w:val="00D65CC8"/>
    <w:rsid w:val="00D663C1"/>
    <w:rsid w:val="00D705D7"/>
    <w:rsid w:val="00D74414"/>
    <w:rsid w:val="00D74624"/>
    <w:rsid w:val="00D746AE"/>
    <w:rsid w:val="00D813E7"/>
    <w:rsid w:val="00D874AF"/>
    <w:rsid w:val="00D90B89"/>
    <w:rsid w:val="00D938E4"/>
    <w:rsid w:val="00DA0582"/>
    <w:rsid w:val="00DA0DB6"/>
    <w:rsid w:val="00DA6B3E"/>
    <w:rsid w:val="00DA74B6"/>
    <w:rsid w:val="00DA77DF"/>
    <w:rsid w:val="00DB2312"/>
    <w:rsid w:val="00DB5DB1"/>
    <w:rsid w:val="00DB5FD0"/>
    <w:rsid w:val="00DB6F69"/>
    <w:rsid w:val="00DC3968"/>
    <w:rsid w:val="00DC4092"/>
    <w:rsid w:val="00DC4448"/>
    <w:rsid w:val="00DC4755"/>
    <w:rsid w:val="00DC600B"/>
    <w:rsid w:val="00DD05A1"/>
    <w:rsid w:val="00DD0B20"/>
    <w:rsid w:val="00DD18B7"/>
    <w:rsid w:val="00DE092C"/>
    <w:rsid w:val="00DE1A67"/>
    <w:rsid w:val="00DE7976"/>
    <w:rsid w:val="00DF1C8E"/>
    <w:rsid w:val="00DF4405"/>
    <w:rsid w:val="00DF7C90"/>
    <w:rsid w:val="00E01F04"/>
    <w:rsid w:val="00E05E36"/>
    <w:rsid w:val="00E213DC"/>
    <w:rsid w:val="00E21DAE"/>
    <w:rsid w:val="00E21F91"/>
    <w:rsid w:val="00E24C3E"/>
    <w:rsid w:val="00E258A7"/>
    <w:rsid w:val="00E262D0"/>
    <w:rsid w:val="00E3176D"/>
    <w:rsid w:val="00E36A09"/>
    <w:rsid w:val="00E45034"/>
    <w:rsid w:val="00E46081"/>
    <w:rsid w:val="00E4726A"/>
    <w:rsid w:val="00E47EFE"/>
    <w:rsid w:val="00E53FC2"/>
    <w:rsid w:val="00E56323"/>
    <w:rsid w:val="00E577A1"/>
    <w:rsid w:val="00E60452"/>
    <w:rsid w:val="00E61AAE"/>
    <w:rsid w:val="00E774DB"/>
    <w:rsid w:val="00E80901"/>
    <w:rsid w:val="00E8460C"/>
    <w:rsid w:val="00E8761C"/>
    <w:rsid w:val="00E923E7"/>
    <w:rsid w:val="00E9257A"/>
    <w:rsid w:val="00EA15EC"/>
    <w:rsid w:val="00EA1BC2"/>
    <w:rsid w:val="00EA38F0"/>
    <w:rsid w:val="00EA7C22"/>
    <w:rsid w:val="00EB0585"/>
    <w:rsid w:val="00EB0943"/>
    <w:rsid w:val="00EB260A"/>
    <w:rsid w:val="00EB2A67"/>
    <w:rsid w:val="00EB41B9"/>
    <w:rsid w:val="00EC1AB7"/>
    <w:rsid w:val="00EC4C16"/>
    <w:rsid w:val="00EC546D"/>
    <w:rsid w:val="00ED2BE4"/>
    <w:rsid w:val="00EE0217"/>
    <w:rsid w:val="00EE0967"/>
    <w:rsid w:val="00EE0A18"/>
    <w:rsid w:val="00EE42D6"/>
    <w:rsid w:val="00EE69E1"/>
    <w:rsid w:val="00EE6F95"/>
    <w:rsid w:val="00EF09ED"/>
    <w:rsid w:val="00EF109F"/>
    <w:rsid w:val="00F02861"/>
    <w:rsid w:val="00F06C9F"/>
    <w:rsid w:val="00F21865"/>
    <w:rsid w:val="00F22D6B"/>
    <w:rsid w:val="00F2404C"/>
    <w:rsid w:val="00F24347"/>
    <w:rsid w:val="00F24EA4"/>
    <w:rsid w:val="00F403C9"/>
    <w:rsid w:val="00F40AB5"/>
    <w:rsid w:val="00F4191F"/>
    <w:rsid w:val="00F42ACF"/>
    <w:rsid w:val="00F47309"/>
    <w:rsid w:val="00F508C0"/>
    <w:rsid w:val="00F524B7"/>
    <w:rsid w:val="00F54923"/>
    <w:rsid w:val="00F56536"/>
    <w:rsid w:val="00F664E7"/>
    <w:rsid w:val="00F72808"/>
    <w:rsid w:val="00F7345A"/>
    <w:rsid w:val="00F739C0"/>
    <w:rsid w:val="00F74DE2"/>
    <w:rsid w:val="00F81807"/>
    <w:rsid w:val="00F84783"/>
    <w:rsid w:val="00F864CF"/>
    <w:rsid w:val="00F93D7F"/>
    <w:rsid w:val="00F95F28"/>
    <w:rsid w:val="00F961A6"/>
    <w:rsid w:val="00FA0F6A"/>
    <w:rsid w:val="00FA50FE"/>
    <w:rsid w:val="00FA7AF3"/>
    <w:rsid w:val="00FB5406"/>
    <w:rsid w:val="00FB7644"/>
    <w:rsid w:val="00FC2371"/>
    <w:rsid w:val="00FD048B"/>
    <w:rsid w:val="00FE5B6F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87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34"/>
    <w:qFormat/>
    <w:rsid w:val="000B63A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09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34"/>
    <w:qFormat/>
    <w:rsid w:val="000B63A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0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2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2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97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6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5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7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8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20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6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91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5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73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9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9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1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7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74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0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6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78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9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76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6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8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rda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9E9B-869D-4103-B282-F70F4475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Datapoint</vt:lpstr>
      <vt:lpstr>Datapoint</vt:lpstr>
    </vt:vector>
  </TitlesOfParts>
  <Company>HP</Company>
  <LinksUpToDate>false</LinksUpToDate>
  <CharactersWithSpaces>6265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Datapoint</dc:title>
  <dc:creator>Aleksandra Prusator</dc:creator>
  <cp:lastModifiedBy>Aleksandra Prusator</cp:lastModifiedBy>
  <cp:revision>6</cp:revision>
  <cp:lastPrinted>2014-05-08T08:39:00Z</cp:lastPrinted>
  <dcterms:created xsi:type="dcterms:W3CDTF">2014-05-08T12:15:00Z</dcterms:created>
  <dcterms:modified xsi:type="dcterms:W3CDTF">2014-10-21T08:33:00Z</dcterms:modified>
</cp:coreProperties>
</file>